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00" w:lineRule="exact"/>
        <w:jc w:val="center"/>
        <w:rPr>
          <w:rFonts w:ascii="黑体" w:hAnsi="黑体" w:eastAsia="黑体" w:cs="黑体"/>
          <w:b/>
          <w:bCs/>
          <w:color w:val="auto"/>
          <w:kern w:val="2"/>
          <w:sz w:val="32"/>
          <w:szCs w:val="32"/>
        </w:rPr>
      </w:pPr>
      <w:r>
        <w:rPr>
          <w:rFonts w:hint="eastAsia" w:ascii="黑体" w:hAnsi="黑体" w:eastAsia="黑体" w:cs="黑体"/>
          <w:b/>
          <w:bCs/>
          <w:color w:val="auto"/>
          <w:kern w:val="2"/>
          <w:sz w:val="32"/>
          <w:szCs w:val="32"/>
        </w:rPr>
        <w:t>金农商银行个人结构性存款202</w:t>
      </w:r>
      <w:r>
        <w:rPr>
          <w:rFonts w:hint="eastAsia" w:ascii="黑体" w:hAnsi="黑体" w:eastAsia="黑体" w:cs="黑体"/>
          <w:b/>
          <w:bCs/>
          <w:color w:val="auto"/>
          <w:kern w:val="2"/>
          <w:sz w:val="32"/>
          <w:szCs w:val="32"/>
          <w:lang w:val="en-US" w:eastAsia="zh-CN"/>
        </w:rPr>
        <w:t>5022</w:t>
      </w:r>
      <w:r>
        <w:rPr>
          <w:rFonts w:hint="eastAsia" w:ascii="黑体" w:hAnsi="黑体" w:eastAsia="黑体" w:cs="黑体"/>
          <w:b/>
          <w:bCs/>
          <w:color w:val="auto"/>
          <w:kern w:val="2"/>
          <w:sz w:val="32"/>
          <w:szCs w:val="32"/>
        </w:rPr>
        <w:t>期产品说明书</w:t>
      </w:r>
    </w:p>
    <w:p>
      <w:pPr>
        <w:spacing w:beforeLines="50" w:line="320" w:lineRule="exact"/>
        <w:rPr>
          <w:rFonts w:ascii="黑体" w:hAnsi="宋体" w:eastAsia="黑体"/>
          <w:b/>
          <w:bCs/>
          <w:sz w:val="24"/>
        </w:rPr>
      </w:pPr>
      <w:r>
        <w:rPr>
          <w:rFonts w:hint="eastAsia" w:ascii="黑体" w:hAnsi="宋体" w:eastAsia="黑体"/>
          <w:b/>
          <w:bCs/>
          <w:sz w:val="24"/>
        </w:rPr>
        <w:t>重要须知：</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紫金农商银行，全称“江苏紫金农村商业银行股份有限公司”。</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本产品仅向依据中华人民共和国有关法律法规及本产品说明书规定可以购买本产品的合格客户发售。</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在本产品存续期内，如因国家法律法规、监管规定发生变化，或是出于维持本产品正常运营的需要，在不损害客户利益的前提下，紫金农商银行有权单方对本说明书进行修订。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购买本产品后，客户应随时关注该产品的信息披露情况，及时获取相关信息。</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本产品说明书解释权归属紫金农商银行所有。</w:t>
      </w:r>
    </w:p>
    <w:p>
      <w:pPr>
        <w:numPr>
          <w:ilvl w:val="0"/>
          <w:numId w:val="1"/>
        </w:numPr>
        <w:adjustRightInd w:val="0"/>
        <w:snapToGrid w:val="0"/>
        <w:spacing w:beforeLines="50" w:line="320" w:lineRule="exact"/>
        <w:ind w:firstLine="640" w:firstLineChars="200"/>
        <w:rPr>
          <w:rFonts w:hint="eastAsia" w:ascii="黑体" w:hAnsi="宋体" w:eastAsia="黑体" w:cs="宋体"/>
          <w:bCs/>
          <w:sz w:val="32"/>
          <w:szCs w:val="32"/>
        </w:rPr>
      </w:pPr>
      <w:r>
        <w:rPr>
          <w:rFonts w:hint="eastAsia" w:ascii="黑体" w:hAnsi="宋体" w:eastAsia="黑体" w:cs="宋体"/>
          <w:bCs/>
          <w:sz w:val="32"/>
          <w:szCs w:val="32"/>
        </w:rPr>
        <w:t>产品基本信息</w:t>
      </w:r>
    </w:p>
    <w:tbl>
      <w:tblPr>
        <w:tblStyle w:val="4"/>
        <w:tblW w:w="8375" w:type="dxa"/>
        <w:jc w:val="center"/>
        <w:tblInd w:w="0" w:type="dxa"/>
        <w:tblLayout w:type="fixed"/>
        <w:tblCellMar>
          <w:top w:w="0" w:type="dxa"/>
          <w:left w:w="108" w:type="dxa"/>
          <w:bottom w:w="0" w:type="dxa"/>
          <w:right w:w="108" w:type="dxa"/>
        </w:tblCellMar>
      </w:tblPr>
      <w:tblGrid>
        <w:gridCol w:w="2705"/>
        <w:gridCol w:w="5670"/>
      </w:tblGrid>
      <w:tr>
        <w:tblPrEx>
          <w:tblLayout w:type="fixed"/>
          <w:tblCellMar>
            <w:top w:w="0" w:type="dxa"/>
            <w:left w:w="108" w:type="dxa"/>
            <w:bottom w:w="0" w:type="dxa"/>
            <w:right w:w="108" w:type="dxa"/>
          </w:tblCellMar>
        </w:tblPrEx>
        <w:trPr>
          <w:trHeight w:val="300" w:hRule="atLeast"/>
          <w:jc w:val="center"/>
        </w:trPr>
        <w:tc>
          <w:tcPr>
            <w:tcW w:w="2705"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产品名称</w:t>
            </w:r>
          </w:p>
        </w:tc>
        <w:tc>
          <w:tcPr>
            <w:tcW w:w="5670" w:type="dxa"/>
            <w:tcBorders>
              <w:top w:val="single" w:color="auto" w:sz="8" w:space="0"/>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紫金农商银行个人结构性存款202</w:t>
            </w:r>
            <w:r>
              <w:rPr>
                <w:rFonts w:hint="eastAsia" w:ascii="仿宋_GB2312" w:hAnsi="宋体" w:eastAsia="仿宋_GB2312" w:cs="宋体"/>
                <w:kern w:val="0"/>
                <w:sz w:val="22"/>
                <w:lang w:val="en-US" w:eastAsia="zh-CN"/>
              </w:rPr>
              <w:t>5022</w:t>
            </w:r>
            <w:r>
              <w:rPr>
                <w:rFonts w:hint="eastAsia" w:ascii="仿宋_GB2312" w:hAnsi="宋体" w:eastAsia="仿宋_GB2312" w:cs="宋体"/>
                <w:kern w:val="0"/>
                <w:sz w:val="22"/>
              </w:rPr>
              <w:t>期</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产品代码</w:t>
            </w:r>
          </w:p>
        </w:tc>
        <w:tc>
          <w:tcPr>
            <w:tcW w:w="5670" w:type="dxa"/>
            <w:tcBorders>
              <w:top w:val="nil"/>
              <w:left w:val="nil"/>
              <w:bottom w:val="single" w:color="auto" w:sz="8" w:space="0"/>
              <w:right w:val="single" w:color="auto" w:sz="8" w:space="0"/>
            </w:tcBorders>
            <w:shd w:val="clear" w:color="auto" w:fill="auto"/>
            <w:vAlign w:val="center"/>
          </w:tcPr>
          <w:p>
            <w:pPr>
              <w:widowControl/>
              <w:rPr>
                <w:rFonts w:hint="default" w:ascii="仿宋_GB2312" w:hAnsi="宋体" w:eastAsia="仿宋_GB2312" w:cs="宋体"/>
                <w:kern w:val="0"/>
                <w:sz w:val="22"/>
                <w:lang w:val="en-US" w:eastAsia="zh-CN"/>
              </w:rPr>
            </w:pPr>
            <w:r>
              <w:rPr>
                <w:rFonts w:hint="eastAsia" w:ascii="仿宋_GB2312" w:hAnsi="宋体" w:eastAsia="仿宋_GB2312" w:cs="宋体"/>
                <w:kern w:val="0"/>
                <w:sz w:val="22"/>
              </w:rPr>
              <w:t>0112</w:t>
            </w:r>
            <w:r>
              <w:rPr>
                <w:rFonts w:hint="eastAsia" w:ascii="仿宋_GB2312" w:hAnsi="宋体" w:eastAsia="仿宋_GB2312" w:cs="宋体"/>
                <w:kern w:val="0"/>
                <w:sz w:val="22"/>
                <w:lang w:val="en-US" w:eastAsia="zh-CN"/>
              </w:rPr>
              <w:t>5</w:t>
            </w:r>
            <w:r>
              <w:rPr>
                <w:rFonts w:hint="eastAsia" w:ascii="仿宋_GB2312" w:hAnsi="宋体" w:eastAsia="仿宋_GB2312" w:cs="宋体"/>
                <w:kern w:val="0"/>
                <w:sz w:val="22"/>
              </w:rPr>
              <w:t>00</w:t>
            </w:r>
            <w:r>
              <w:rPr>
                <w:rFonts w:hint="eastAsia" w:ascii="仿宋_GB2312" w:hAnsi="宋体" w:eastAsia="仿宋_GB2312" w:cs="宋体"/>
                <w:kern w:val="0"/>
                <w:sz w:val="22"/>
                <w:lang w:val="en-US" w:eastAsia="zh-CN"/>
              </w:rPr>
              <w:t>022</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适合客户</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风险评级为低、中低、中等、中高、高</w:t>
            </w:r>
            <w:r>
              <w:rPr>
                <w:rFonts w:hint="eastAsia" w:ascii="仿宋_GB2312" w:hAnsi="宋体" w:eastAsia="仿宋_GB2312" w:cs="宋体"/>
                <w:kern w:val="0"/>
                <w:sz w:val="22"/>
                <w:u w:val="single"/>
              </w:rPr>
              <w:t>的客户</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存款期限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18</w:t>
            </w:r>
            <w:r>
              <w:rPr>
                <w:rFonts w:hint="eastAsia" w:ascii="仿宋_GB2312" w:hAnsi="宋体" w:eastAsia="仿宋_GB2312" w:cs="宋体"/>
                <w:kern w:val="0"/>
                <w:sz w:val="22"/>
                <w:u w:val="single"/>
                <w:lang w:val="en-US" w:eastAsia="zh-CN"/>
              </w:rPr>
              <w:t>0</w:t>
            </w:r>
            <w:r>
              <w:rPr>
                <w:rFonts w:hint="eastAsia" w:ascii="仿宋_GB2312" w:hAnsi="宋体" w:eastAsia="仿宋_GB2312" w:cs="宋体"/>
                <w:kern w:val="0"/>
                <w:sz w:val="22"/>
                <w:u w:val="single"/>
              </w:rPr>
              <w:t>天</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本金及收益币种</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起存金额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个人客户1万元人民币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递增金额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1000元人民币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认购期</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17</w:t>
            </w:r>
            <w:r>
              <w:rPr>
                <w:rFonts w:hint="eastAsia" w:ascii="仿宋_GB2312" w:hAnsi="宋体" w:eastAsia="仿宋_GB2312" w:cs="宋体"/>
                <w:b/>
                <w:kern w:val="0"/>
                <w:sz w:val="24"/>
              </w:rPr>
              <w:t>日14:00—202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24</w:t>
            </w:r>
            <w:r>
              <w:rPr>
                <w:rFonts w:hint="eastAsia" w:ascii="仿宋_GB2312" w:hAnsi="宋体" w:eastAsia="仿宋_GB2312" w:cs="宋体"/>
                <w:b/>
                <w:kern w:val="0"/>
                <w:sz w:val="24"/>
              </w:rPr>
              <w:t>日14:00</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起息日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26</w:t>
            </w:r>
            <w:r>
              <w:rPr>
                <w:rFonts w:hint="eastAsia" w:ascii="仿宋_GB2312" w:hAnsi="宋体" w:eastAsia="仿宋_GB2312" w:cs="宋体"/>
                <w:b/>
                <w:kern w:val="0"/>
                <w:sz w:val="24"/>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到期日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2025年</w:t>
            </w:r>
            <w:r>
              <w:rPr>
                <w:rFonts w:hint="eastAsia" w:ascii="仿宋_GB2312" w:hAnsi="宋体" w:eastAsia="仿宋_GB2312" w:cs="宋体"/>
                <w:kern w:val="0"/>
                <w:sz w:val="22"/>
                <w:lang w:val="en-US" w:eastAsia="zh-CN"/>
              </w:rPr>
              <w:t>8月25</w:t>
            </w:r>
            <w:r>
              <w:rPr>
                <w:rFonts w:hint="eastAsia" w:ascii="仿宋_GB2312" w:hAnsi="宋体" w:eastAsia="仿宋_GB2312" w:cs="宋体"/>
                <w:kern w:val="0"/>
                <w:sz w:val="22"/>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挂钩标的</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color w:val="FF0000"/>
                <w:kern w:val="0"/>
                <w:sz w:val="22"/>
              </w:rPr>
            </w:pPr>
            <w:r>
              <w:rPr>
                <w:rFonts w:hint="eastAsia" w:ascii="楷体_GB2312" w:eastAsia="楷体_GB2312"/>
                <w:color w:val="FF0000"/>
                <w:sz w:val="22"/>
                <w:szCs w:val="22"/>
              </w:rPr>
              <w:t>中债10Y国债到期收益率</w:t>
            </w:r>
          </w:p>
        </w:tc>
      </w:tr>
      <w:tr>
        <w:tblPrEx>
          <w:tblLayout w:type="fixed"/>
          <w:tblCellMar>
            <w:top w:w="0" w:type="dxa"/>
            <w:left w:w="108" w:type="dxa"/>
            <w:bottom w:w="0" w:type="dxa"/>
            <w:right w:w="108" w:type="dxa"/>
          </w:tblCellMar>
        </w:tblPrEx>
        <w:trPr>
          <w:trHeight w:val="1725"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w:t>
            </w:r>
          </w:p>
        </w:tc>
        <w:tc>
          <w:tcPr>
            <w:tcW w:w="5670" w:type="dxa"/>
            <w:tcBorders>
              <w:top w:val="nil"/>
              <w:left w:val="nil"/>
              <w:bottom w:val="single" w:color="auto" w:sz="8" w:space="0"/>
              <w:right w:val="single" w:color="auto" w:sz="8" w:space="0"/>
            </w:tcBorders>
            <w:shd w:val="clear" w:color="auto" w:fill="auto"/>
            <w:vAlign w:val="center"/>
          </w:tcPr>
          <w:p>
            <w:pPr>
              <w:rPr>
                <w:rFonts w:ascii="仿宋_GB2312" w:eastAsia="仿宋_GB2312"/>
                <w:sz w:val="22"/>
                <w:szCs w:val="28"/>
              </w:rPr>
            </w:pPr>
            <w:r>
              <w:rPr>
                <w:rFonts w:hint="eastAsia" w:ascii="仿宋_GB2312" w:eastAsia="仿宋_GB2312"/>
                <w:b/>
                <w:bCs/>
                <w:sz w:val="22"/>
                <w:szCs w:val="28"/>
              </w:rPr>
              <w:t>预期年化收益率</w:t>
            </w:r>
            <w:r>
              <w:rPr>
                <w:rFonts w:hint="eastAsia" w:ascii="仿宋_GB2312" w:eastAsia="仿宋_GB2312"/>
                <w:sz w:val="22"/>
                <w:szCs w:val="28"/>
              </w:rPr>
              <w:t>：1.</w:t>
            </w:r>
            <w:r>
              <w:rPr>
                <w:rFonts w:hint="eastAsia" w:ascii="仿宋_GB2312" w:eastAsia="仿宋_GB2312"/>
                <w:sz w:val="22"/>
                <w:szCs w:val="28"/>
                <w:lang w:val="en-US" w:eastAsia="zh-CN"/>
              </w:rPr>
              <w:t>4</w:t>
            </w:r>
            <w:r>
              <w:rPr>
                <w:rFonts w:hint="eastAsia" w:ascii="仿宋_GB2312" w:eastAsia="仿宋_GB2312"/>
                <w:sz w:val="22"/>
                <w:szCs w:val="28"/>
              </w:rPr>
              <w:t>5</w:t>
            </w:r>
            <w:r>
              <w:rPr>
                <w:rFonts w:ascii="仿宋_GB2312" w:eastAsia="仿宋_GB2312"/>
                <w:sz w:val="22"/>
                <w:szCs w:val="28"/>
              </w:rPr>
              <w:t>%或</w:t>
            </w:r>
            <w:r>
              <w:rPr>
                <w:rFonts w:hint="eastAsia" w:ascii="仿宋_GB2312" w:eastAsia="仿宋_GB2312"/>
                <w:sz w:val="22"/>
                <w:szCs w:val="28"/>
                <w:lang w:val="en-US" w:eastAsia="zh-CN"/>
              </w:rPr>
              <w:t>1.95</w:t>
            </w:r>
            <w:r>
              <w:rPr>
                <w:rFonts w:hint="eastAsia" w:ascii="仿宋_GB2312" w:eastAsia="仿宋_GB2312"/>
                <w:sz w:val="22"/>
                <w:szCs w:val="28"/>
              </w:rPr>
              <w:t>%或2.</w:t>
            </w:r>
            <w:r>
              <w:rPr>
                <w:rFonts w:hint="eastAsia" w:ascii="仿宋_GB2312" w:eastAsia="仿宋_GB2312"/>
                <w:sz w:val="22"/>
                <w:szCs w:val="28"/>
                <w:lang w:val="en-US" w:eastAsia="zh-CN"/>
              </w:rPr>
              <w:t>15</w:t>
            </w:r>
            <w:r>
              <w:rPr>
                <w:rFonts w:ascii="仿宋_GB2312" w:eastAsia="仿宋_GB2312"/>
                <w:sz w:val="22"/>
                <w:szCs w:val="28"/>
              </w:rPr>
              <w:t>%</w:t>
            </w:r>
            <w:r>
              <w:rPr>
                <w:rFonts w:hint="eastAsia" w:ascii="仿宋_GB2312" w:eastAsia="仿宋_GB2312"/>
                <w:sz w:val="22"/>
                <w:szCs w:val="28"/>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若期末观察日挂钩标的价格大于【起息日挂钩标的价格+71BP】，则到期收益率为1.</w:t>
            </w:r>
            <w:r>
              <w:rPr>
                <w:rFonts w:hint="eastAsia" w:ascii="仿宋_GB2312" w:hAnsi="宋体" w:eastAsia="仿宋_GB2312" w:cs="宋体"/>
                <w:kern w:val="0"/>
                <w:sz w:val="22"/>
                <w:lang w:val="en-US" w:eastAsia="zh-CN"/>
              </w:rPr>
              <w:t>4</w:t>
            </w:r>
            <w:r>
              <w:rPr>
                <w:rFonts w:hint="eastAsia" w:ascii="仿宋_GB2312" w:hAnsi="宋体" w:eastAsia="仿宋_GB2312" w:cs="宋体"/>
                <w:kern w:val="0"/>
                <w:sz w:val="22"/>
              </w:rPr>
              <w:t>5%；</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若期末观察日挂钩标的价格大于【起息日挂钩标的价格-24.5BP】且小于或等于【起息日挂钩标的价格+71BP】,则到期收益率为</w:t>
            </w:r>
            <w:r>
              <w:rPr>
                <w:rFonts w:hint="eastAsia" w:ascii="仿宋_GB2312" w:hAnsi="宋体" w:eastAsia="仿宋_GB2312" w:cs="宋体"/>
                <w:kern w:val="0"/>
                <w:sz w:val="22"/>
                <w:lang w:val="en-US" w:eastAsia="zh-CN"/>
              </w:rPr>
              <w:t>1.95</w:t>
            </w:r>
            <w:r>
              <w:rPr>
                <w:rFonts w:hint="eastAsia" w:ascii="仿宋_GB2312" w:hAnsi="宋体" w:eastAsia="仿宋_GB2312" w:cs="宋体"/>
                <w:kern w:val="0"/>
                <w:sz w:val="22"/>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若期末观察日挂钩标的价格小于或等于【起息日挂钩标的价格-24.5BP】,则到期收益率为2.</w:t>
            </w:r>
            <w:r>
              <w:rPr>
                <w:rFonts w:hint="eastAsia" w:ascii="仿宋_GB2312" w:hAnsi="宋体" w:eastAsia="仿宋_GB2312" w:cs="宋体"/>
                <w:kern w:val="0"/>
                <w:sz w:val="22"/>
                <w:lang w:val="en-US" w:eastAsia="zh-CN"/>
              </w:rPr>
              <w:t>15</w:t>
            </w:r>
            <w:r>
              <w:rPr>
                <w:rFonts w:hint="eastAsia" w:ascii="仿宋_GB2312" w:hAnsi="宋体" w:eastAsia="仿宋_GB2312" w:cs="宋体"/>
                <w:kern w:val="0"/>
                <w:sz w:val="22"/>
              </w:rPr>
              <w:t>%。</w:t>
            </w:r>
          </w:p>
          <w:p>
            <w:pPr>
              <w:jc w:val="left"/>
              <w:rPr>
                <w:rFonts w:ascii="仿宋_GB2312" w:eastAsia="仿宋_GB2312"/>
                <w:b/>
                <w:bCs/>
                <w:sz w:val="22"/>
                <w:szCs w:val="28"/>
              </w:rPr>
            </w:pPr>
            <w:r>
              <w:rPr>
                <w:rFonts w:hint="eastAsia" w:ascii="仿宋_GB2312" w:eastAsia="仿宋_GB2312"/>
                <w:b/>
                <w:bCs/>
                <w:sz w:val="22"/>
                <w:szCs w:val="28"/>
              </w:rPr>
              <w:t>期末观察日</w:t>
            </w:r>
            <w:r>
              <w:rPr>
                <w:rFonts w:hint="eastAsia" w:ascii="仿宋_GB2312" w:eastAsia="仿宋_GB2312"/>
                <w:sz w:val="22"/>
                <w:szCs w:val="28"/>
              </w:rPr>
              <w:t>为产品到期日前二个北京工作日。</w:t>
            </w:r>
          </w:p>
          <w:p>
            <w:pPr>
              <w:jc w:val="left"/>
              <w:rPr>
                <w:rFonts w:ascii="仿宋_GB2312" w:eastAsia="仿宋_GB2312"/>
                <w:sz w:val="22"/>
                <w:szCs w:val="28"/>
              </w:rPr>
            </w:pPr>
            <w:r>
              <w:rPr>
                <w:rFonts w:hint="eastAsia" w:ascii="仿宋_GB2312" w:eastAsia="仿宋_GB2312"/>
                <w:b/>
                <w:bCs/>
                <w:sz w:val="22"/>
                <w:szCs w:val="28"/>
              </w:rPr>
              <w:t>挂钩标的价格</w:t>
            </w:r>
            <w:r>
              <w:rPr>
                <w:rFonts w:hint="eastAsia" w:ascii="仿宋_GB2312" w:eastAsia="仿宋_GB2312"/>
                <w:sz w:val="22"/>
                <w:szCs w:val="28"/>
              </w:rPr>
              <w:t xml:space="preserve">指在任一观察日中国债券信息网（http://www.chinabond.com.cn/）公布的中债国债收益率曲线（到期），待偿期（10.0Y）的收益率。观察日为交易日但无法从上述页面获得该利率，则使用可获得该利率的最近一个观察日的挂钩标的利率，作为该观察日挂钩标的的利率。   </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产品规模下限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产品规模上限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lang w:val="en-US" w:eastAsia="zh-CN"/>
              </w:rPr>
              <w:t>20</w:t>
            </w:r>
            <w:r>
              <w:rPr>
                <w:rFonts w:hint="eastAsia" w:ascii="仿宋_GB2312" w:hAnsi="宋体" w:eastAsia="仿宋_GB2312" w:cs="宋体"/>
                <w:kern w:val="0"/>
                <w:sz w:val="22"/>
                <w:u w:val="single"/>
              </w:rPr>
              <w:t>000万元人民币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提前终止条款</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客户无提前终止权，银行有权提前终止。</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工作日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国家法定工作日，不含法定节假日。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是否允许质押</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否</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产品收益计算基础</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实际存款天数/360天</w:t>
            </w:r>
          </w:p>
        </w:tc>
      </w:tr>
      <w:tr>
        <w:tblPrEx>
          <w:tblLayout w:type="fixed"/>
          <w:tblCellMar>
            <w:top w:w="0" w:type="dxa"/>
            <w:left w:w="108" w:type="dxa"/>
            <w:bottom w:w="0" w:type="dxa"/>
            <w:right w:w="108" w:type="dxa"/>
          </w:tblCellMar>
        </w:tblPrEx>
        <w:trPr>
          <w:trHeight w:val="782"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产品本金和收益支付方式</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产品存续期满，本金与收益将于产品到期日后的</w:t>
            </w:r>
            <w:r>
              <w:rPr>
                <w:rFonts w:hint="eastAsia" w:ascii="仿宋_GB2312" w:hAnsi="宋体" w:eastAsia="仿宋_GB2312" w:cs="宋体"/>
                <w:kern w:val="0"/>
                <w:sz w:val="22"/>
                <w:u w:val="single"/>
              </w:rPr>
              <w:t>2个工作日内</w:t>
            </w:r>
            <w:r>
              <w:rPr>
                <w:rFonts w:hint="eastAsia" w:ascii="仿宋_GB2312" w:hAnsi="宋体" w:eastAsia="仿宋_GB2312" w:cs="宋体"/>
                <w:kern w:val="0"/>
                <w:sz w:val="22"/>
              </w:rPr>
              <w:t>一次性支付，如遇节假日，则顺延至下一个工作日，本投资周期终止日至资金到帐日间不另付利息。</w:t>
            </w:r>
          </w:p>
        </w:tc>
      </w:tr>
    </w:tbl>
    <w:p>
      <w:pPr>
        <w:adjustRightInd w:val="0"/>
        <w:snapToGrid w:val="0"/>
        <w:spacing w:beforeLines="50" w:line="320" w:lineRule="exact"/>
        <w:ind w:firstLine="640" w:firstLineChars="200"/>
        <w:rPr>
          <w:rFonts w:ascii="黑体" w:hAnsi="宋体" w:eastAsia="黑体" w:cs="宋体"/>
          <w:bCs/>
          <w:sz w:val="32"/>
          <w:szCs w:val="32"/>
        </w:rPr>
      </w:pPr>
      <w:bookmarkStart w:id="0" w:name="_GoBack"/>
      <w:bookmarkEnd w:id="0"/>
      <w:r>
        <w:rPr>
          <w:rFonts w:hint="eastAsia" w:ascii="黑体" w:hAnsi="宋体" w:eastAsia="黑体" w:cs="宋体"/>
          <w:bCs/>
          <w:sz w:val="32"/>
          <w:szCs w:val="32"/>
        </w:rPr>
        <w:t>二、交易约定</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.1产品认购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pPr>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2.1.2自客户签订销售文件之时起有24小时投资冷静期，在投资冷静期内，如客户改变投资决定，我行将遵从客户的意愿，解除已签订的销售文件，并退还全部投资款项。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2.1.3认购期间客户因挂失、司法冻结等原因导致不能正常扣划相应金额的，则视为认购无效，紫金农商银行不承担任何责任。</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2.1.4客户认购生效后至起息日（不含）期间按照活期存款利率计息，认购期内的利息不计入投资本金。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.2产品成立</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2.2.1紫金农商银行有权根据实际需要对本产品募集资金规模进行调整，本产品最终规模以紫金农商银行实际募集的资金数额为准。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2.2.2紫金农商银行有权根据认购情况调整认购期。如紫金农商银行调整认购期，则起息日由紫金农商银行另行确定。</w:t>
      </w:r>
    </w:p>
    <w:p>
      <w:pPr>
        <w:spacing w:line="56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hint="eastAsia" w:ascii="仿宋_GB2312" w:hAnsi="宋体" w:eastAsia="仿宋_GB2312"/>
          <w:sz w:val="32"/>
          <w:szCs w:val="32"/>
          <w:u w:val="single"/>
        </w:rPr>
        <w:t>第2个工作日</w:t>
      </w:r>
      <w:r>
        <w:rPr>
          <w:rFonts w:hint="eastAsia" w:ascii="仿宋_GB2312" w:hAnsi="宋体" w:eastAsia="仿宋_GB2312"/>
          <w:sz w:val="32"/>
          <w:szCs w:val="32"/>
        </w:rPr>
        <w:t>发布该产品不成立的公告，并解冻客户结算账户内的认购资金。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.3提前终止与产品终止</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w:t>
      </w:r>
      <w:r>
        <w:rPr>
          <w:rFonts w:hint="eastAsia" w:ascii="仿宋_GB2312" w:hAnsi="宋体" w:eastAsia="仿宋_GB2312"/>
          <w:bCs/>
          <w:kern w:val="0"/>
          <w:sz w:val="32"/>
          <w:szCs w:val="32"/>
          <w:lang w:val="zh-CN"/>
        </w:rPr>
        <w:t>.3.</w:t>
      </w:r>
      <w:r>
        <w:rPr>
          <w:rFonts w:hint="eastAsia" w:ascii="仿宋_GB2312" w:hAnsi="宋体" w:eastAsia="仿宋_GB2312"/>
          <w:bCs/>
          <w:kern w:val="0"/>
          <w:sz w:val="32"/>
          <w:szCs w:val="32"/>
        </w:rPr>
        <w:t>1</w:t>
      </w:r>
      <w:r>
        <w:rPr>
          <w:rFonts w:hint="eastAsia" w:ascii="仿宋_GB2312" w:hAnsi="宋体" w:eastAsia="仿宋_GB2312"/>
          <w:bCs/>
          <w:kern w:val="0"/>
          <w:sz w:val="32"/>
          <w:szCs w:val="32"/>
          <w:lang w:val="zh-CN"/>
        </w:rPr>
        <w:t>在存续期限内，客户无提前终止权，紫金农商银行可提前终止本产品。若本产品提前终止，产品收益计算以本产品实际存续天数为准。</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紫金农商银行行使提前终止权的，应在提前终止日（即产品提前到期日）前</w:t>
      </w:r>
      <w:r>
        <w:rPr>
          <w:rFonts w:hint="eastAsia" w:ascii="仿宋_GB2312" w:hAnsi="宋体" w:eastAsia="仿宋_GB2312"/>
          <w:sz w:val="32"/>
          <w:szCs w:val="32"/>
          <w:u w:val="single"/>
          <w:lang w:val="zh-CN"/>
        </w:rPr>
        <w:t>2个工作日</w:t>
      </w:r>
      <w:r>
        <w:rPr>
          <w:rFonts w:hint="eastAsia" w:ascii="仿宋_GB2312" w:hAnsi="宋体" w:eastAsia="仿宋_GB2312"/>
          <w:bCs/>
          <w:kern w:val="0"/>
          <w:sz w:val="32"/>
          <w:szCs w:val="32"/>
          <w:lang w:val="zh-CN"/>
        </w:rPr>
        <w:t>通过营业网点、网站或其他方式发布相关信息公告，自公告发布之日起即视为已通知客户。</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2.3.2</w:t>
      </w:r>
      <w:r>
        <w:rPr>
          <w:rFonts w:hint="eastAsia" w:ascii="仿宋_GB2312" w:hAnsi="宋体" w:eastAsia="仿宋_GB2312"/>
          <w:bCs/>
          <w:kern w:val="0"/>
          <w:sz w:val="32"/>
          <w:szCs w:val="32"/>
          <w:lang w:val="zh-CN"/>
        </w:rPr>
        <w:t>紫金农商银行于产品到期日（包括提前到期日与存续期满到期日）后</w:t>
      </w:r>
      <w:r>
        <w:rPr>
          <w:rFonts w:hint="eastAsia" w:ascii="仿宋_GB2312" w:hAnsi="宋体" w:eastAsia="仿宋_GB2312"/>
          <w:sz w:val="32"/>
          <w:szCs w:val="32"/>
          <w:u w:val="single"/>
          <w:lang w:val="zh-CN"/>
        </w:rPr>
        <w:t>2 个工作日内</w:t>
      </w:r>
      <w:r>
        <w:rPr>
          <w:rFonts w:hint="eastAsia" w:ascii="仿宋_GB2312" w:hAnsi="宋体" w:eastAsia="仿宋_GB2312"/>
          <w:bCs/>
          <w:kern w:val="0"/>
          <w:sz w:val="32"/>
          <w:szCs w:val="32"/>
          <w:lang w:val="zh-CN"/>
        </w:rPr>
        <w:t>将存款资金划入客户认购结构性存款时资金转出的结算账户，本投资周期终止日至资金到帐日间不另付利息。</w:t>
      </w:r>
    </w:p>
    <w:p>
      <w:pPr>
        <w:spacing w:line="560" w:lineRule="exact"/>
        <w:ind w:firstLine="472" w:firstLineChars="147"/>
        <w:rPr>
          <w:rFonts w:ascii="仿宋_GB2312" w:hAnsi="宋体" w:eastAsia="仿宋_GB2312"/>
          <w:sz w:val="32"/>
          <w:szCs w:val="32"/>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w:t>
      </w:r>
      <w:r>
        <w:rPr>
          <w:rFonts w:hint="eastAsia" w:ascii="仿宋_GB2312" w:hAnsi="宋体" w:eastAsia="仿宋_GB2312"/>
          <w:b/>
          <w:bCs/>
          <w:kern w:val="0"/>
          <w:sz w:val="32"/>
          <w:szCs w:val="32"/>
        </w:rPr>
        <w:t>4存款本金及收益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紫金农商银行向客户提供本金完全保障，并根据本说明书的相关约定，按照挂钩标的价格的表现，向客户支付浮动收益。</w:t>
      </w:r>
    </w:p>
    <w:p>
      <w:pPr>
        <w:spacing w:line="560" w:lineRule="exact"/>
        <w:ind w:firstLine="643" w:firstLineChars="200"/>
        <w:rPr>
          <w:rFonts w:ascii="仿宋_GB2312" w:hAnsi="宋体" w:eastAsia="仿宋_GB2312"/>
          <w:b/>
          <w:bCs/>
          <w:color w:val="FF0000"/>
          <w:kern w:val="0"/>
          <w:sz w:val="32"/>
          <w:szCs w:val="32"/>
          <w:lang w:val="zh-CN"/>
        </w:rPr>
      </w:pPr>
      <w:r>
        <w:rPr>
          <w:rFonts w:hint="eastAsia" w:ascii="仿宋_GB2312" w:hAnsi="宋体" w:eastAsia="仿宋_GB2312"/>
          <w:b/>
          <w:bCs/>
          <w:color w:val="FF0000"/>
          <w:kern w:val="0"/>
          <w:sz w:val="32"/>
          <w:szCs w:val="32"/>
          <w:lang w:val="zh-CN"/>
        </w:rPr>
        <w:t>情景分析：本存款中示例均采用假设数据，并不代表客户实际可获得的收益。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最有利情况：若期末观察日挂钩标的价格为2.65%，小于或等于【2.71%】，则产品到期时客户共获得年化利率为2.95%的收益；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最不利情况：若期末观察日挂钩标的价格为3.6%，大于【3.5%】，则产品到期时客户共获得年化利率为1.8%的收益。</w:t>
      </w:r>
    </w:p>
    <w:p>
      <w:pPr>
        <w:spacing w:line="560" w:lineRule="exact"/>
        <w:ind w:firstLine="640" w:firstLineChars="200"/>
        <w:rPr>
          <w:rFonts w:ascii="仿宋_GB2312" w:hAnsi="宋体" w:eastAsia="仿宋_GB2312"/>
          <w:bCs/>
          <w:color w:val="FF0000"/>
          <w:kern w:val="0"/>
          <w:sz w:val="32"/>
          <w:szCs w:val="32"/>
          <w:lang w:val="zh-CN"/>
        </w:rPr>
      </w:pPr>
      <w:r>
        <w:rPr>
          <w:rFonts w:hint="eastAsia" w:ascii="仿宋_GB2312" w:hAnsi="宋体" w:eastAsia="仿宋_GB2312"/>
          <w:color w:val="FF0000"/>
          <w:sz w:val="32"/>
          <w:szCs w:val="32"/>
        </w:rPr>
        <w:t>其他情况：若期末观察日挂钩标的价格为2.8%，大于【2.71%】且小于或等于【3.5%】，则产品到期时客户共获得年化利率为2.85%的收益。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2.5如果客户的资金账户发生变更的，以紫金农商银行在支付投资本金与收益前收到的最后一份书面变更通知中的资金账户为准。</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rPr>
        <w:t xml:space="preserve">    2.6</w:t>
      </w:r>
      <w:r>
        <w:rPr>
          <w:rFonts w:hint="eastAsia" w:ascii="仿宋_GB2312" w:hAnsi="宋体" w:eastAsia="仿宋_GB2312"/>
          <w:bCs/>
          <w:kern w:val="0"/>
          <w:sz w:val="32"/>
          <w:szCs w:val="32"/>
          <w:lang w:val="zh-CN"/>
        </w:rPr>
        <w:t>结构性存款收益的应纳税款由客户自行申报及缴纳。</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三、信息披露</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3.1紫金农商银行将按照约定及时、准确地进行信息披露；产品到期或终止时的信息披露内容包括但不限于挂钩标的表现、客户实际到期收益率等。</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3.2若发生产品提前终止的情形，紫金农商银行将按照本说明书的约定，发布产品提前终止的相关信息。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3.3若发生结构性存款产品不成立的情形，紫金农商银行发布产品不成立的相关信息。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3.4其他紫金农商银行认为对客户有重大影响而需要发布的重要信息。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3.5客户确认并同意紫金农商银行通过以下任一方式披露信息：紫金农商银行官方网站（www.zj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四、特别提示</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4.2客户签署《结构性存款协议》后，紫金农商银行有权在产品起息日从约定的账户扣收客户的存款本金。</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五、其他</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客户对本结构性存款产品有任何意见或异议，请联系或反馈至紫金农商银行各营业网点，也可致电紫金农商银行客户服务热线（9</w:t>
      </w:r>
      <w:r>
        <w:rPr>
          <w:rFonts w:hint="eastAsia" w:ascii="仿宋_GB2312" w:hAnsi="宋体" w:eastAsia="仿宋_GB2312" w:cs="宋体"/>
          <w:bCs/>
          <w:kern w:val="0"/>
          <w:sz w:val="32"/>
          <w:szCs w:val="32"/>
        </w:rPr>
        <w:t>6008</w:t>
      </w:r>
      <w:r>
        <w:rPr>
          <w:rFonts w:hint="eastAsia" w:ascii="仿宋_GB2312" w:hAnsi="宋体" w:eastAsia="仿宋_GB2312" w:cs="宋体"/>
          <w:bCs/>
          <w:kern w:val="0"/>
          <w:sz w:val="32"/>
          <w:szCs w:val="32"/>
          <w:lang w:val="zh-CN"/>
        </w:rPr>
        <w:t>）。</w:t>
      </w:r>
    </w:p>
    <w:p>
      <w:pPr>
        <w:spacing w:line="560" w:lineRule="exact"/>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8621704"/>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E90CD"/>
    <w:multiLevelType w:val="singleLevel"/>
    <w:tmpl w:val="64DE9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0F996AB5"/>
    <w:rsid w:val="1AB0525F"/>
    <w:rsid w:val="2B1F4334"/>
    <w:rsid w:val="34405594"/>
    <w:rsid w:val="380B4EE0"/>
    <w:rsid w:val="3A5D077E"/>
    <w:rsid w:val="41AE673D"/>
    <w:rsid w:val="4C125F3E"/>
    <w:rsid w:val="4E2C0D34"/>
    <w:rsid w:val="5596520C"/>
    <w:rsid w:val="6A951EE5"/>
    <w:rsid w:val="72317EDE"/>
    <w:rsid w:val="72341288"/>
    <w:rsid w:val="7B5C7367"/>
    <w:rsid w:val="7C0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Default"/>
    <w:qFormat/>
    <w:uiPriority w:val="0"/>
    <w:pPr>
      <w:widowControl w:val="0"/>
      <w:autoSpaceDE w:val="0"/>
      <w:autoSpaceDN w:val="0"/>
      <w:adjustRightInd w:val="0"/>
    </w:pPr>
    <w:rPr>
      <w:rFonts w:ascii="...." w:hAnsi="Calibri" w:eastAsia="...."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BCD684-9671-49DA-BB4C-28544069F52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3303</Words>
  <Characters>3589</Characters>
  <Lines>102</Lines>
  <Paragraphs>94</Paragraphs>
  <TotalTime>0</TotalTime>
  <ScaleCrop>false</ScaleCrop>
  <LinksUpToDate>false</LinksUpToDate>
  <CharactersWithSpaces>3654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2019-01-14T02:08:00Z</dcterms:created>
  <dc:creator>微软用户</dc:creator>
  <cp:lastModifiedBy>Xinyi</cp:lastModifiedBy>
  <dcterms:modified xsi:type="dcterms:W3CDTF">2025-02-13T08:38:29Z</dcterms:modified>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