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1D0" w:rsidRDefault="00C951D0" w:rsidP="006B3BEE">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紫金农商银行个人结构性存款</w:t>
      </w:r>
      <w:r w:rsidR="006A7F71" w:rsidRPr="00FD0ACA">
        <w:rPr>
          <w:rFonts w:ascii="黑体" w:eastAsia="黑体" w:hAnsi="黑体" w:cs="黑体" w:hint="eastAsia"/>
          <w:b/>
          <w:bCs/>
          <w:color w:val="auto"/>
          <w:kern w:val="2"/>
          <w:sz w:val="32"/>
          <w:szCs w:val="32"/>
        </w:rPr>
        <w:t>20</w:t>
      </w:r>
      <w:r w:rsidR="00412343">
        <w:rPr>
          <w:rFonts w:ascii="黑体" w:eastAsia="黑体" w:hAnsi="黑体" w:cs="黑体" w:hint="eastAsia"/>
          <w:b/>
          <w:bCs/>
          <w:color w:val="auto"/>
          <w:kern w:val="2"/>
          <w:sz w:val="32"/>
          <w:szCs w:val="32"/>
        </w:rPr>
        <w:t>2</w:t>
      </w:r>
      <w:r w:rsidR="00E87BC1">
        <w:rPr>
          <w:rFonts w:ascii="黑体" w:eastAsia="黑体" w:hAnsi="黑体" w:cs="黑体" w:hint="eastAsia"/>
          <w:b/>
          <w:bCs/>
          <w:color w:val="auto"/>
          <w:kern w:val="2"/>
          <w:sz w:val="32"/>
          <w:szCs w:val="32"/>
        </w:rPr>
        <w:t>40</w:t>
      </w:r>
      <w:r w:rsidR="007521B0">
        <w:rPr>
          <w:rFonts w:ascii="黑体" w:eastAsia="黑体" w:hAnsi="黑体" w:cs="黑体" w:hint="eastAsia"/>
          <w:b/>
          <w:bCs/>
          <w:color w:val="auto"/>
          <w:kern w:val="2"/>
          <w:sz w:val="32"/>
          <w:szCs w:val="32"/>
        </w:rPr>
        <w:t>92</w:t>
      </w:r>
      <w:r w:rsidR="006A7F71" w:rsidRPr="00FD0ACA">
        <w:rPr>
          <w:rFonts w:ascii="黑体" w:eastAsia="黑体" w:hAnsi="黑体" w:cs="黑体" w:hint="eastAsia"/>
          <w:b/>
          <w:bCs/>
          <w:color w:val="auto"/>
          <w:kern w:val="2"/>
          <w:sz w:val="32"/>
          <w:szCs w:val="32"/>
        </w:rPr>
        <w:t>期</w:t>
      </w:r>
      <w:r>
        <w:rPr>
          <w:rFonts w:ascii="黑体" w:eastAsia="黑体" w:hAnsi="黑体" w:cs="黑体" w:hint="eastAsia"/>
          <w:b/>
          <w:bCs/>
          <w:color w:val="auto"/>
          <w:kern w:val="2"/>
          <w:sz w:val="32"/>
          <w:szCs w:val="32"/>
        </w:rPr>
        <w:t>产品说明书</w:t>
      </w:r>
    </w:p>
    <w:p w:rsidR="00C951D0" w:rsidRPr="00990B1F" w:rsidRDefault="00C951D0" w:rsidP="007521B0">
      <w:pPr>
        <w:spacing w:beforeLines="50" w:line="320" w:lineRule="exact"/>
        <w:rPr>
          <w:rFonts w:ascii="黑体" w:eastAsia="黑体" w:hAnsi="宋体"/>
          <w:b/>
          <w:bCs/>
          <w:sz w:val="24"/>
        </w:rPr>
      </w:pPr>
      <w:r w:rsidRPr="00990B1F">
        <w:rPr>
          <w:rFonts w:ascii="黑体" w:eastAsia="黑体" w:hAnsi="宋体" w:hint="eastAsia"/>
          <w:b/>
          <w:bCs/>
          <w:sz w:val="24"/>
        </w:rPr>
        <w:t>重要须知：</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紫金农商银行，全称“江苏紫金农村商业银行股份有限公司”。</w:t>
      </w:r>
    </w:p>
    <w:p w:rsidR="00283A80" w:rsidRDefault="00C951D0" w:rsidP="00283A80">
      <w:pPr>
        <w:rPr>
          <w:rFonts w:ascii="黑体" w:eastAsia="黑体" w:hAnsi="黑体" w:cs="黑体"/>
          <w:b/>
          <w:bCs/>
          <w:szCs w:val="21"/>
        </w:rPr>
      </w:pPr>
      <w:r w:rsidRPr="00990B1F">
        <w:rPr>
          <w:rFonts w:ascii="黑体" w:eastAsia="黑体" w:hAnsi="黑体" w:cs="黑体" w:hint="eastAsia"/>
          <w:b/>
          <w:bCs/>
          <w:sz w:val="15"/>
          <w:szCs w:val="15"/>
        </w:rPr>
        <w:t xml:space="preserve">●  </w:t>
      </w:r>
      <w:r w:rsidR="00283A80" w:rsidRPr="00990B1F">
        <w:rPr>
          <w:rFonts w:ascii="黑体" w:eastAsia="黑体" w:hAnsi="黑体" w:cs="黑体" w:hint="eastAsia"/>
          <w:b/>
          <w:bCs/>
          <w:szCs w:val="21"/>
        </w:rPr>
        <w:t>结构性存款</w:t>
      </w:r>
      <w:r w:rsidR="00283A80">
        <w:rPr>
          <w:rFonts w:ascii="黑体" w:eastAsia="黑体" w:hAnsi="黑体" w:cs="黑体" w:hint="eastAsia"/>
          <w:b/>
          <w:bCs/>
          <w:szCs w:val="21"/>
        </w:rPr>
        <w:t>不同于一般性</w:t>
      </w:r>
      <w:r w:rsidR="00283A80" w:rsidRPr="00990B1F">
        <w:rPr>
          <w:rFonts w:ascii="黑体" w:eastAsia="黑体" w:hAnsi="黑体" w:cs="黑体" w:hint="eastAsia"/>
          <w:b/>
          <w:bCs/>
          <w:szCs w:val="21"/>
        </w:rPr>
        <w:t>存款，</w:t>
      </w:r>
      <w:r w:rsidR="00283A80">
        <w:rPr>
          <w:rFonts w:ascii="黑体" w:eastAsia="黑体" w:hAnsi="黑体" w:cs="黑体" w:hint="eastAsia"/>
          <w:b/>
          <w:bCs/>
          <w:szCs w:val="21"/>
        </w:rPr>
        <w:t>具有投资风险，您应当充分认识</w:t>
      </w:r>
      <w:r w:rsidR="00283A80" w:rsidRPr="00990B1F">
        <w:rPr>
          <w:rFonts w:ascii="黑体" w:eastAsia="黑体" w:hAnsi="黑体" w:cs="黑体" w:hint="eastAsia"/>
          <w:b/>
          <w:bCs/>
          <w:szCs w:val="21"/>
        </w:rPr>
        <w:t>投资</w:t>
      </w:r>
      <w:r w:rsidR="00283A80">
        <w:rPr>
          <w:rFonts w:ascii="黑体" w:eastAsia="黑体" w:hAnsi="黑体" w:cs="黑体" w:hint="eastAsia"/>
          <w:b/>
          <w:bCs/>
          <w:szCs w:val="21"/>
        </w:rPr>
        <w:t>风险，</w:t>
      </w:r>
      <w:r w:rsidR="00283A80" w:rsidRPr="00990B1F">
        <w:rPr>
          <w:rFonts w:ascii="黑体" w:eastAsia="黑体" w:hAnsi="黑体" w:cs="黑体" w:hint="eastAsia"/>
          <w:b/>
          <w:bCs/>
          <w:szCs w:val="21"/>
        </w:rPr>
        <w:t>谨慎</w:t>
      </w:r>
      <w:r w:rsidR="00283A80">
        <w:rPr>
          <w:rFonts w:ascii="黑体" w:eastAsia="黑体" w:hAnsi="黑体" w:cs="黑体" w:hint="eastAsia"/>
          <w:b/>
          <w:bCs/>
          <w:szCs w:val="21"/>
        </w:rPr>
        <w:t>投资</w:t>
      </w:r>
      <w:r w:rsidR="00283A80" w:rsidRPr="00990B1F">
        <w:rPr>
          <w:rFonts w:ascii="黑体" w:eastAsia="黑体" w:hAnsi="黑体" w:cs="黑体" w:hint="eastAsia"/>
          <w:b/>
          <w:bCs/>
          <w:szCs w:val="21"/>
        </w:rPr>
        <w:t>。结构性存款是指</w:t>
      </w:r>
      <w:r w:rsidR="00283A80">
        <w:rPr>
          <w:rFonts w:ascii="黑体" w:eastAsia="黑体" w:hAnsi="黑体" w:cs="黑体" w:hint="eastAsia"/>
          <w:b/>
          <w:bCs/>
          <w:szCs w:val="21"/>
        </w:rPr>
        <w:t>商业银行吸收的嵌入金融衍生产品的存款，通过与利率、汇率、指数等的波动挂钩或者与某实体的信用情况挂钩，使存款人在承担风险的基础上获得相应的收益。</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本产品仅向依据中华人民共和国有关法律法规及本产品说明书规定可以购买本产品的合格客户发售。</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购买本产品后，客户应随时关注该产品的信息披露情况，及时获取相关信息。</w:t>
      </w:r>
    </w:p>
    <w:p w:rsidR="00C951D0"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本产品说明书解释权归属紫金农商银行所有。</w:t>
      </w:r>
    </w:p>
    <w:p w:rsidR="002E289E" w:rsidRDefault="00352301" w:rsidP="007521B0">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一、</w:t>
      </w:r>
      <w:r w:rsidR="00C951D0" w:rsidRPr="00352301">
        <w:rPr>
          <w:rFonts w:ascii="黑体" w:eastAsia="黑体" w:hAnsi="宋体" w:cs="宋体" w:hint="eastAsia"/>
          <w:bCs/>
          <w:sz w:val="32"/>
          <w:szCs w:val="32"/>
        </w:rPr>
        <w:t>产品基本信息</w:t>
      </w:r>
    </w:p>
    <w:tbl>
      <w:tblPr>
        <w:tblW w:w="8375" w:type="dxa"/>
        <w:jc w:val="center"/>
        <w:tblLook w:val="04A0"/>
      </w:tblPr>
      <w:tblGrid>
        <w:gridCol w:w="2705"/>
        <w:gridCol w:w="5670"/>
      </w:tblGrid>
      <w:tr w:rsidR="007521B0" w:rsidRPr="002C15F8" w:rsidTr="00426428">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紫金农商银行个人结构性存款202</w:t>
            </w:r>
            <w:r>
              <w:rPr>
                <w:rFonts w:ascii="仿宋_GB2312" w:eastAsia="仿宋_GB2312" w:hAnsi="宋体" w:cs="宋体" w:hint="eastAsia"/>
                <w:kern w:val="0"/>
                <w:sz w:val="22"/>
              </w:rPr>
              <w:t>4092</w:t>
            </w:r>
            <w:r w:rsidRPr="002A073A">
              <w:rPr>
                <w:rFonts w:ascii="仿宋_GB2312" w:eastAsia="仿宋_GB2312" w:hAnsi="宋体" w:cs="宋体" w:hint="eastAsia"/>
                <w:kern w:val="0"/>
                <w:sz w:val="22"/>
              </w:rPr>
              <w:t>期</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Pr>
                <w:rFonts w:ascii="仿宋_GB2312" w:eastAsia="仿宋_GB2312" w:hAnsi="宋体" w:cs="宋体" w:hint="eastAsia"/>
                <w:kern w:val="0"/>
                <w:sz w:val="24"/>
              </w:rPr>
              <w:t>0112400041</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风险评级为低、中低、中等、中高、高</w:t>
            </w:r>
            <w:r w:rsidRPr="002A073A">
              <w:rPr>
                <w:rFonts w:ascii="仿宋_GB2312" w:eastAsia="仿宋_GB2312" w:hAnsi="宋体" w:cs="宋体" w:hint="eastAsia"/>
                <w:kern w:val="0"/>
                <w:sz w:val="22"/>
                <w:u w:val="single"/>
              </w:rPr>
              <w:t>的客户</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w:t>
            </w:r>
            <w:r w:rsidRPr="002A073A">
              <w:rPr>
                <w:rFonts w:ascii="仿宋_GB2312" w:eastAsia="仿宋_GB2312" w:hAnsi="宋体" w:cs="宋体" w:hint="eastAsia"/>
                <w:kern w:val="0"/>
                <w:sz w:val="22"/>
                <w:u w:val="single"/>
              </w:rPr>
              <w:t>天</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人民币</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个人客户1万元人民币</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1000元人民币</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9A4A0A" w:rsidRDefault="007521B0" w:rsidP="0042642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hideMark/>
          </w:tcPr>
          <w:p w:rsidR="007521B0" w:rsidRPr="009A4A0A" w:rsidRDefault="007521B0" w:rsidP="0042642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22</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28</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9A4A0A" w:rsidRDefault="007521B0" w:rsidP="0042642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hideMark/>
          </w:tcPr>
          <w:p w:rsidR="007521B0" w:rsidRPr="009A4A0A" w:rsidRDefault="007521B0" w:rsidP="0042642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30</w:t>
            </w:r>
            <w:r w:rsidRPr="009A4A0A">
              <w:rPr>
                <w:rFonts w:ascii="仿宋_GB2312" w:eastAsia="仿宋_GB2312" w:hAnsi="宋体" w:cs="宋体" w:hint="eastAsia"/>
                <w:b/>
                <w:kern w:val="0"/>
                <w:sz w:val="24"/>
              </w:rPr>
              <w:t>日</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202</w:t>
            </w:r>
            <w:r>
              <w:rPr>
                <w:rFonts w:ascii="仿宋_GB2312" w:eastAsia="仿宋_GB2312" w:hAnsi="宋体" w:cs="宋体" w:hint="eastAsia"/>
                <w:kern w:val="0"/>
                <w:sz w:val="22"/>
              </w:rPr>
              <w:t>4</w:t>
            </w:r>
            <w:r w:rsidRPr="002A073A">
              <w:rPr>
                <w:rFonts w:ascii="仿宋_GB2312" w:eastAsia="仿宋_GB2312" w:hAnsi="宋体" w:cs="宋体" w:hint="eastAsia"/>
                <w:kern w:val="0"/>
                <w:sz w:val="22"/>
              </w:rPr>
              <w:t>年</w:t>
            </w:r>
            <w:r>
              <w:rPr>
                <w:rFonts w:ascii="仿宋_GB2312" w:eastAsia="仿宋_GB2312" w:hAnsi="宋体" w:cs="宋体" w:hint="eastAsia"/>
                <w:kern w:val="0"/>
                <w:sz w:val="22"/>
              </w:rPr>
              <w:t>5</w:t>
            </w:r>
            <w:r w:rsidRPr="002A073A">
              <w:rPr>
                <w:rFonts w:ascii="仿宋_GB2312" w:eastAsia="仿宋_GB2312" w:hAnsi="宋体" w:cs="宋体" w:hint="eastAsia"/>
                <w:kern w:val="0"/>
                <w:sz w:val="22"/>
              </w:rPr>
              <w:t>月</w:t>
            </w:r>
            <w:r>
              <w:rPr>
                <w:rFonts w:ascii="仿宋_GB2312" w:eastAsia="仿宋_GB2312" w:hAnsi="宋体" w:cs="宋体" w:hint="eastAsia"/>
                <w:kern w:val="0"/>
                <w:sz w:val="22"/>
              </w:rPr>
              <w:t>30</w:t>
            </w:r>
            <w:r w:rsidRPr="002A073A">
              <w:rPr>
                <w:rFonts w:ascii="仿宋_GB2312" w:eastAsia="仿宋_GB2312" w:hAnsi="宋体" w:cs="宋体" w:hint="eastAsia"/>
                <w:kern w:val="0"/>
                <w:sz w:val="22"/>
              </w:rPr>
              <w:t>日</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b/>
                <w:color w:val="FF0000"/>
                <w:kern w:val="0"/>
                <w:sz w:val="22"/>
              </w:rPr>
            </w:pPr>
            <w:r w:rsidRPr="002A073A">
              <w:rPr>
                <w:rFonts w:ascii="仿宋_GB2312" w:eastAsia="仿宋_GB2312" w:hint="eastAsia"/>
                <w:b/>
                <w:color w:val="FF0000"/>
                <w:sz w:val="22"/>
                <w:szCs w:val="28"/>
              </w:rPr>
              <w:t>欧元兑美元汇率</w:t>
            </w:r>
          </w:p>
        </w:tc>
      </w:tr>
      <w:tr w:rsidR="007521B0" w:rsidRPr="00221257" w:rsidTr="00426428">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rPr>
                <w:rFonts w:ascii="仿宋_GB2312" w:eastAsia="仿宋_GB2312"/>
                <w:sz w:val="22"/>
                <w:szCs w:val="28"/>
              </w:rPr>
            </w:pPr>
            <w:r w:rsidRPr="002A073A">
              <w:rPr>
                <w:rFonts w:ascii="仿宋_GB2312" w:eastAsia="仿宋_GB2312" w:hint="eastAsia"/>
                <w:sz w:val="22"/>
                <w:szCs w:val="28"/>
              </w:rPr>
              <w:t>预期年化收益率：1.</w:t>
            </w:r>
            <w:r>
              <w:rPr>
                <w:rFonts w:ascii="仿宋_GB2312" w:eastAsia="仿宋_GB2312" w:hint="eastAsia"/>
                <w:sz w:val="22"/>
                <w:szCs w:val="28"/>
              </w:rPr>
              <w:t>8</w:t>
            </w:r>
            <w:r w:rsidRPr="002A073A">
              <w:rPr>
                <w:rFonts w:ascii="仿宋_GB2312" w:eastAsia="仿宋_GB2312"/>
                <w:sz w:val="22"/>
                <w:szCs w:val="28"/>
              </w:rPr>
              <w:t>%</w:t>
            </w:r>
            <w:r>
              <w:rPr>
                <w:rFonts w:ascii="仿宋_GB2312" w:eastAsia="仿宋_GB2312" w:hint="eastAsia"/>
                <w:sz w:val="22"/>
                <w:szCs w:val="28"/>
              </w:rPr>
              <w:t>或2.35%或2.45</w:t>
            </w:r>
            <w:r w:rsidRPr="002A073A">
              <w:rPr>
                <w:rFonts w:ascii="仿宋_GB2312" w:eastAsia="仿宋_GB2312"/>
                <w:sz w:val="22"/>
                <w:szCs w:val="28"/>
              </w:rPr>
              <w:t>%</w:t>
            </w:r>
            <w:r w:rsidRPr="002A073A">
              <w:rPr>
                <w:rFonts w:ascii="仿宋_GB2312" w:eastAsia="仿宋_GB2312" w:hint="eastAsia"/>
                <w:sz w:val="22"/>
                <w:szCs w:val="28"/>
              </w:rPr>
              <w:t>。</w:t>
            </w:r>
          </w:p>
          <w:p w:rsidR="007521B0" w:rsidRPr="002A073A" w:rsidRDefault="007521B0"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若观察日欧元兑美元汇率低于期初价格的</w:t>
            </w:r>
            <w:r>
              <w:rPr>
                <w:rFonts w:ascii="仿宋_GB2312" w:eastAsia="仿宋_GB2312" w:hAnsi="宋体" w:cs="宋体" w:hint="eastAsia"/>
                <w:kern w:val="0"/>
                <w:sz w:val="22"/>
              </w:rPr>
              <w:t>85</w:t>
            </w:r>
            <w:r w:rsidRPr="002A073A">
              <w:rPr>
                <w:rFonts w:ascii="仿宋_GB2312" w:eastAsia="仿宋_GB2312" w:hAnsi="宋体" w:cs="宋体" w:hint="eastAsia"/>
                <w:kern w:val="0"/>
                <w:sz w:val="22"/>
              </w:rPr>
              <w:t>%，则到期利率执行为1.</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w:t>
            </w:r>
          </w:p>
          <w:p w:rsidR="007521B0" w:rsidRPr="002A073A" w:rsidRDefault="007521B0"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w:t>
            </w:r>
            <w:r>
              <w:rPr>
                <w:rFonts w:ascii="仿宋_GB2312" w:eastAsia="仿宋_GB2312" w:hAnsi="宋体" w:cs="宋体" w:hint="eastAsia"/>
                <w:kern w:val="0"/>
                <w:sz w:val="22"/>
              </w:rPr>
              <w:t>85</w:t>
            </w:r>
            <w:r w:rsidRPr="002A073A">
              <w:rPr>
                <w:rFonts w:ascii="仿宋_GB2312" w:eastAsia="仿宋_GB2312" w:hAnsi="宋体" w:cs="宋体" w:hint="eastAsia"/>
                <w:kern w:val="0"/>
                <w:sz w:val="22"/>
              </w:rPr>
              <w:t>%且低于期初价格的10</w:t>
            </w:r>
            <w:r>
              <w:rPr>
                <w:rFonts w:ascii="仿宋_GB2312" w:eastAsia="仿宋_GB2312" w:hAnsi="宋体" w:cs="宋体" w:hint="eastAsia"/>
                <w:kern w:val="0"/>
                <w:sz w:val="22"/>
              </w:rPr>
              <w:t>0.50</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2.35</w:t>
            </w:r>
            <w:r w:rsidRPr="002A073A">
              <w:rPr>
                <w:rFonts w:ascii="仿宋_GB2312" w:eastAsia="仿宋_GB2312" w:hAnsi="宋体" w:cs="宋体" w:hint="eastAsia"/>
                <w:kern w:val="0"/>
                <w:sz w:val="22"/>
              </w:rPr>
              <w:t>%;</w:t>
            </w:r>
          </w:p>
          <w:p w:rsidR="007521B0" w:rsidRPr="002A073A" w:rsidRDefault="007521B0"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若观察日欧元兑美元汇率高于或等于期初价格的10</w:t>
            </w:r>
            <w:r>
              <w:rPr>
                <w:rFonts w:ascii="仿宋_GB2312" w:eastAsia="仿宋_GB2312" w:hAnsi="宋体" w:cs="宋体" w:hint="eastAsia"/>
                <w:kern w:val="0"/>
                <w:sz w:val="22"/>
              </w:rPr>
              <w:t>0.50</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2.45</w:t>
            </w:r>
            <w:r w:rsidRPr="002A073A">
              <w:rPr>
                <w:rFonts w:ascii="仿宋_GB2312" w:eastAsia="仿宋_GB2312" w:hAnsi="宋体" w:cs="宋体" w:hint="eastAsia"/>
                <w:kern w:val="0"/>
                <w:sz w:val="22"/>
              </w:rPr>
              <w:t>%。</w:t>
            </w:r>
          </w:p>
          <w:p w:rsidR="007521B0" w:rsidRPr="002A073A" w:rsidRDefault="007521B0" w:rsidP="00426428">
            <w:pPr>
              <w:spacing w:line="320" w:lineRule="exact"/>
              <w:rPr>
                <w:rFonts w:ascii="仿宋_GB2312" w:eastAsia="仿宋_GB2312" w:hAnsiTheme="minorEastAsia" w:cs="宋体"/>
                <w:sz w:val="22"/>
              </w:rPr>
            </w:pPr>
            <w:r w:rsidRPr="002A073A">
              <w:rPr>
                <w:rFonts w:ascii="仿宋_GB2312" w:eastAsia="仿宋_GB2312" w:hAnsiTheme="minorEastAsia" w:cs="宋体" w:hint="eastAsia"/>
                <w:sz w:val="22"/>
              </w:rPr>
              <w:t>期初价格为产品成立日彭博（Bloomberg）页面“EUR CURNCY BFIX”显示的北京时间10：00欧元/美元中间汇率，保留小数点后四位。</w:t>
            </w:r>
          </w:p>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Theme="minorEastAsia" w:cs="宋体" w:hint="eastAsia"/>
                <w:sz w:val="22"/>
              </w:rPr>
              <w:t>观察日为到期日前二个北京工作日,观察日欧元兑美元汇率指当日彭博（Bloomberg）页面“EUR CURNCY BFIX”显</w:t>
            </w:r>
            <w:r w:rsidRPr="002A073A">
              <w:rPr>
                <w:rFonts w:ascii="仿宋_GB2312" w:eastAsia="仿宋_GB2312" w:hAnsiTheme="minorEastAsia" w:cs="宋体" w:hint="eastAsia"/>
                <w:sz w:val="22"/>
              </w:rPr>
              <w:lastRenderedPageBreak/>
              <w:t>示的北京时间14：00欧元/美元中间汇率，保留小数点后四位。若在观察日，该价格无法从上述页面获得，则由计算机构按照商业合理原则确定。</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10万元人民币</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25</w:t>
            </w:r>
            <w:r w:rsidRPr="002A073A">
              <w:rPr>
                <w:rFonts w:ascii="仿宋_GB2312" w:eastAsia="仿宋_GB2312" w:hAnsi="宋体" w:cs="宋体" w:hint="eastAsia"/>
                <w:kern w:val="0"/>
                <w:sz w:val="22"/>
                <w:u w:val="single"/>
              </w:rPr>
              <w:t>00万</w:t>
            </w:r>
            <w:r w:rsidRPr="002A073A">
              <w:rPr>
                <w:rFonts w:ascii="仿宋_GB2312" w:eastAsia="仿宋_GB2312" w:hAnsi="宋体" w:cs="宋体" w:hint="eastAsia"/>
                <w:kern w:val="0"/>
                <w:sz w:val="22"/>
              </w:rPr>
              <w:t>元人民币</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客户无提前终止权，银行有权提前终止。</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国家法定工作日，不含法定节假日。</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否</w:t>
            </w:r>
          </w:p>
        </w:tc>
      </w:tr>
      <w:tr w:rsidR="007521B0"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实际存款天数/360天</w:t>
            </w:r>
          </w:p>
        </w:tc>
      </w:tr>
      <w:tr w:rsidR="007521B0" w:rsidRPr="002C15F8" w:rsidTr="00426428">
        <w:trPr>
          <w:trHeight w:val="87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7521B0" w:rsidRPr="002C15F8" w:rsidRDefault="007521B0"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hideMark/>
          </w:tcPr>
          <w:p w:rsidR="007521B0" w:rsidRPr="002A073A" w:rsidRDefault="007521B0"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产品存续期满，本金与收益将于产品到期日后的</w:t>
            </w:r>
            <w:r w:rsidRPr="002A073A">
              <w:rPr>
                <w:rFonts w:ascii="仿宋_GB2312" w:eastAsia="仿宋_GB2312" w:hAnsi="宋体" w:cs="宋体" w:hint="eastAsia"/>
                <w:kern w:val="0"/>
                <w:sz w:val="22"/>
                <w:u w:val="single"/>
              </w:rPr>
              <w:t>2个工作日内</w:t>
            </w:r>
            <w:r w:rsidRPr="002A073A">
              <w:rPr>
                <w:rFonts w:ascii="仿宋_GB2312" w:eastAsia="仿宋_GB2312" w:hAnsi="宋体" w:cs="宋体" w:hint="eastAsia"/>
                <w:kern w:val="0"/>
                <w:sz w:val="22"/>
              </w:rPr>
              <w:t>一次性支付，如遇节假日，则顺延至下一个工作日，本投资周期终止日至资金到帐日间不另付利息。</w:t>
            </w:r>
          </w:p>
        </w:tc>
      </w:tr>
    </w:tbl>
    <w:p w:rsidR="00C951D0" w:rsidRPr="00352301" w:rsidRDefault="00352301" w:rsidP="007521B0">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二、</w:t>
      </w:r>
      <w:r w:rsidR="00C951D0" w:rsidRPr="00352301">
        <w:rPr>
          <w:rFonts w:ascii="黑体" w:eastAsia="黑体" w:hAnsi="宋体" w:cs="宋体" w:hint="eastAsia"/>
          <w:bCs/>
          <w:sz w:val="32"/>
          <w:szCs w:val="32"/>
        </w:rPr>
        <w:t>交易约定</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.1产品认购</w:t>
      </w:r>
    </w:p>
    <w:p w:rsidR="00C951D0" w:rsidRPr="00FD0ACA" w:rsidRDefault="00C951D0" w:rsidP="00283A80">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283A80" w:rsidRPr="002E289E" w:rsidRDefault="00283A80" w:rsidP="00283A80">
      <w:pPr>
        <w:spacing w:line="560" w:lineRule="exact"/>
        <w:ind w:firstLineChars="200" w:firstLine="640"/>
        <w:rPr>
          <w:rFonts w:ascii="仿宋_GB2312" w:eastAsia="仿宋_GB2312" w:hAnsi="宋体"/>
          <w:color w:val="FF0000"/>
          <w:sz w:val="32"/>
          <w:szCs w:val="32"/>
        </w:rPr>
      </w:pPr>
      <w:r w:rsidRPr="002E289E">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2.1.4客户认购生效后至起息日（不含）期间按照活期</w:t>
      </w:r>
      <w:r w:rsidRPr="00283A80">
        <w:rPr>
          <w:rFonts w:ascii="仿宋_GB2312" w:eastAsia="仿宋_GB2312" w:hAnsi="宋体" w:hint="eastAsia"/>
          <w:sz w:val="32"/>
          <w:szCs w:val="32"/>
        </w:rPr>
        <w:lastRenderedPageBreak/>
        <w:t>存款利率计息，认购期内的利息不计入投资本金。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.2产品成立</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2.2.1紫金农商银行有权根据实际需要对本产品募集资金规模进行调整，本产品最终规模以紫金农商银行实际募集的资金数额为准。</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2.2.2紫金农商银行有权根据认购情况调整认购期。如紫金农商银行调整认购期，则起息日由紫金农商银行另行确定。</w:t>
      </w:r>
    </w:p>
    <w:p w:rsidR="00C951D0" w:rsidRPr="00FD0ACA" w:rsidRDefault="00C951D0" w:rsidP="00FD0ACA">
      <w:pPr>
        <w:spacing w:line="560" w:lineRule="exact"/>
        <w:ind w:firstLineChars="200" w:firstLine="640"/>
        <w:rPr>
          <w:rFonts w:ascii="仿宋_GB2312" w:eastAsia="仿宋_GB2312" w:hAnsi="宋体"/>
          <w:sz w:val="32"/>
          <w:szCs w:val="32"/>
          <w:u w:val="single"/>
        </w:rPr>
      </w:pPr>
      <w:r w:rsidRPr="00FD0ACA">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sidRPr="00FD0ACA">
        <w:rPr>
          <w:rFonts w:ascii="仿宋_GB2312" w:eastAsia="仿宋_GB2312" w:hAnsi="宋体" w:hint="eastAsia"/>
          <w:sz w:val="32"/>
          <w:szCs w:val="32"/>
          <w:u w:val="single"/>
        </w:rPr>
        <w:t>第2个工作日</w:t>
      </w:r>
      <w:r w:rsidRPr="00FD0ACA">
        <w:rPr>
          <w:rFonts w:ascii="仿宋_GB2312" w:eastAsia="仿宋_GB2312" w:hAnsi="宋体" w:hint="eastAsia"/>
          <w:sz w:val="32"/>
          <w:szCs w:val="32"/>
        </w:rPr>
        <w:t>发布该产品不成立的公告，并解冻客户结算账户内的认购资金。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.3提前终止与产品终止</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w:t>
      </w:r>
      <w:r w:rsidRPr="00FD0ACA">
        <w:rPr>
          <w:rFonts w:ascii="仿宋_GB2312" w:eastAsia="仿宋_GB2312" w:hAnsi="宋体" w:hint="eastAsia"/>
          <w:bCs/>
          <w:kern w:val="0"/>
          <w:sz w:val="32"/>
          <w:szCs w:val="32"/>
          <w:lang w:val="zh-CN"/>
        </w:rPr>
        <w:t>.3.</w:t>
      </w:r>
      <w:r w:rsidRPr="00FD0ACA">
        <w:rPr>
          <w:rFonts w:ascii="仿宋_GB2312" w:eastAsia="仿宋_GB2312" w:hAnsi="宋体" w:hint="eastAsia"/>
          <w:bCs/>
          <w:kern w:val="0"/>
          <w:sz w:val="32"/>
          <w:szCs w:val="32"/>
        </w:rPr>
        <w:t>1</w:t>
      </w:r>
      <w:r w:rsidRPr="00FD0ACA">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lastRenderedPageBreak/>
        <w:t>紫金农商银行行使提前终止权的，应在提前终止日（即产品提前到期日）前</w:t>
      </w:r>
      <w:r w:rsidRPr="00FD0ACA">
        <w:rPr>
          <w:rFonts w:ascii="仿宋_GB2312" w:eastAsia="仿宋_GB2312" w:hAnsi="宋体" w:hint="eastAsia"/>
          <w:sz w:val="32"/>
          <w:szCs w:val="32"/>
          <w:u w:val="single"/>
          <w:lang w:val="zh-CN"/>
        </w:rPr>
        <w:t>2个工作日</w:t>
      </w:r>
      <w:r w:rsidRPr="00FD0ACA">
        <w:rPr>
          <w:rFonts w:ascii="仿宋_GB2312" w:eastAsia="仿宋_GB2312" w:hAnsi="宋体" w:hint="eastAsia"/>
          <w:bCs/>
          <w:kern w:val="0"/>
          <w:sz w:val="32"/>
          <w:szCs w:val="32"/>
          <w:lang w:val="zh-CN"/>
        </w:rPr>
        <w:t>通过营业网点、网站或其他方式发布相关信息公告，自公告发布之日起即视为已通知客户。</w:t>
      </w:r>
    </w:p>
    <w:p w:rsidR="00C52279"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2.3.2</w:t>
      </w:r>
      <w:r w:rsidRPr="00FD0ACA">
        <w:rPr>
          <w:rFonts w:ascii="仿宋_GB2312" w:eastAsia="仿宋_GB2312" w:hAnsi="宋体" w:hint="eastAsia"/>
          <w:bCs/>
          <w:kern w:val="0"/>
          <w:sz w:val="32"/>
          <w:szCs w:val="32"/>
          <w:lang w:val="zh-CN"/>
        </w:rPr>
        <w:t>紫金农商银行于产品到期日（包括提前到期日与存续期满到期日）后</w:t>
      </w:r>
      <w:r w:rsidRPr="00FD0ACA">
        <w:rPr>
          <w:rFonts w:ascii="仿宋_GB2312" w:eastAsia="仿宋_GB2312" w:hAnsi="宋体" w:hint="eastAsia"/>
          <w:sz w:val="32"/>
          <w:szCs w:val="32"/>
          <w:u w:val="single"/>
          <w:lang w:val="zh-CN"/>
        </w:rPr>
        <w:t>2 个工作日内</w:t>
      </w:r>
      <w:r w:rsidRPr="00FD0ACA">
        <w:rPr>
          <w:rFonts w:ascii="仿宋_GB2312" w:eastAsia="仿宋_GB2312" w:hAnsi="宋体" w:hint="eastAsia"/>
          <w:bCs/>
          <w:kern w:val="0"/>
          <w:sz w:val="32"/>
          <w:szCs w:val="32"/>
          <w:lang w:val="zh-CN"/>
        </w:rPr>
        <w:t>将存款资金划入客户认购结构性存款时资金转出的结算账户，</w:t>
      </w:r>
      <w:r w:rsidR="00C52279" w:rsidRPr="00FD0ACA">
        <w:rPr>
          <w:rFonts w:ascii="仿宋_GB2312" w:eastAsia="仿宋_GB2312" w:hAnsi="宋体" w:hint="eastAsia"/>
          <w:bCs/>
          <w:kern w:val="0"/>
          <w:sz w:val="32"/>
          <w:szCs w:val="32"/>
          <w:lang w:val="zh-CN"/>
        </w:rPr>
        <w:t>本投资周期终止日至资金到帐日间不另付利息。</w:t>
      </w:r>
    </w:p>
    <w:p w:rsidR="00C951D0" w:rsidRPr="00FD0ACA" w:rsidRDefault="00C951D0" w:rsidP="00FD0ACA">
      <w:pPr>
        <w:spacing w:line="560" w:lineRule="exact"/>
        <w:ind w:firstLineChars="147" w:firstLine="472"/>
        <w:rPr>
          <w:rFonts w:ascii="仿宋_GB2312" w:eastAsia="仿宋_GB2312" w:hAnsi="宋体"/>
          <w:sz w:val="32"/>
          <w:szCs w:val="32"/>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w:t>
      </w:r>
      <w:r w:rsidRPr="00FD0ACA">
        <w:rPr>
          <w:rFonts w:ascii="仿宋_GB2312" w:eastAsia="仿宋_GB2312" w:hAnsi="宋体" w:hint="eastAsia"/>
          <w:b/>
          <w:bCs/>
          <w:kern w:val="0"/>
          <w:sz w:val="32"/>
          <w:szCs w:val="32"/>
        </w:rPr>
        <w:t>4存款本金及收益</w:t>
      </w:r>
    </w:p>
    <w:p w:rsidR="00283A80" w:rsidRDefault="00283A80" w:rsidP="00283A80">
      <w:pPr>
        <w:spacing w:line="560" w:lineRule="exact"/>
        <w:ind w:firstLineChars="200" w:firstLine="640"/>
        <w:rPr>
          <w:rFonts w:ascii="仿宋_GB2312" w:eastAsia="仿宋_GB2312" w:hAnsi="宋体"/>
          <w:bCs/>
          <w:kern w:val="0"/>
          <w:sz w:val="32"/>
          <w:szCs w:val="32"/>
          <w:lang w:val="zh-CN"/>
        </w:rPr>
      </w:pPr>
      <w:r w:rsidRPr="00473830">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283A80" w:rsidRPr="00B72A94" w:rsidRDefault="00283A80" w:rsidP="00B72A94">
      <w:pPr>
        <w:spacing w:line="560" w:lineRule="exact"/>
        <w:ind w:firstLineChars="200" w:firstLine="643"/>
        <w:rPr>
          <w:rFonts w:ascii="仿宋_GB2312" w:eastAsia="仿宋_GB2312" w:hAnsi="宋体"/>
          <w:b/>
          <w:bCs/>
          <w:color w:val="FF0000"/>
          <w:kern w:val="0"/>
          <w:sz w:val="32"/>
          <w:szCs w:val="32"/>
          <w:lang w:val="zh-CN"/>
        </w:rPr>
      </w:pPr>
      <w:r w:rsidRPr="00B72A94">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假如客户从我行购买一款挂钩欧元兑美元汇率的7天期结构性存款产品，期初价格为1.1741，若观察日欧元兑美元汇率低于1.1154，则到期利率执行为1.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%；若观察日欧元兑美元汇率高于或等于1.1154且低于1.18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1</w:t>
      </w:r>
      <w:r w:rsidRPr="003739EF">
        <w:rPr>
          <w:rFonts w:ascii="仿宋_GB2312" w:eastAsia="仿宋_GB2312" w:hAnsi="宋体" w:hint="eastAsia"/>
          <w:bCs/>
          <w:color w:val="FF0000"/>
          <w:kern w:val="0"/>
          <w:sz w:val="32"/>
          <w:szCs w:val="32"/>
          <w:lang w:val="zh-CN"/>
        </w:rPr>
        <w:t>%;若观察日欧元兑美元汇率高于或等于1.18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%;（本案例不考虑节假日顺延等因素）。利息收益取决于所挂钩标的的变化，具体情景分析如下：</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最有利情况：若观察日欧元兑美元汇率高于或等于1.18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，则产品到期时客户共获得年化利率为3.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最不利情况：若观察日欧元兑美元汇率低于1.1154，则</w:t>
      </w:r>
      <w:r w:rsidRPr="003739EF">
        <w:rPr>
          <w:rFonts w:ascii="仿宋_GB2312" w:eastAsia="仿宋_GB2312" w:hAnsi="宋体" w:hint="eastAsia"/>
          <w:bCs/>
          <w:color w:val="FF0000"/>
          <w:kern w:val="0"/>
          <w:sz w:val="32"/>
          <w:szCs w:val="32"/>
          <w:lang w:val="zh-CN"/>
        </w:rPr>
        <w:lastRenderedPageBreak/>
        <w:t>产品到期时客户共获得年化利率为1.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%的收益。</w:t>
      </w:r>
    </w:p>
    <w:p w:rsidR="00C951D0" w:rsidRPr="00FD0ACA" w:rsidRDefault="00C951D0" w:rsidP="00473830">
      <w:pPr>
        <w:spacing w:line="560" w:lineRule="exact"/>
        <w:ind w:firstLineChars="200" w:firstLine="640"/>
        <w:rPr>
          <w:rFonts w:ascii="仿宋_GB2312" w:eastAsia="仿宋_GB2312" w:hAnsi="宋体"/>
          <w:bCs/>
          <w:kern w:val="0"/>
          <w:sz w:val="32"/>
          <w:szCs w:val="32"/>
          <w:lang w:val="zh-CN"/>
        </w:rPr>
      </w:pPr>
      <w:r w:rsidRPr="003739EF">
        <w:rPr>
          <w:rFonts w:ascii="仿宋_GB2312" w:eastAsia="仿宋_GB2312" w:hAnsi="宋体" w:hint="eastAsia"/>
          <w:bCs/>
          <w:kern w:val="0"/>
          <w:sz w:val="32"/>
          <w:szCs w:val="32"/>
          <w:lang w:val="zh-CN"/>
        </w:rPr>
        <w:t>2.5</w:t>
      </w:r>
      <w:r w:rsidRPr="00FD0ACA">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C951D0" w:rsidRPr="00FD0ACA"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 xml:space="preserve">    2.6</w:t>
      </w:r>
      <w:r w:rsidRPr="00FD0ACA">
        <w:rPr>
          <w:rFonts w:ascii="仿宋_GB2312" w:eastAsia="仿宋_GB2312" w:hAnsi="宋体" w:hint="eastAsia"/>
          <w:bCs/>
          <w:kern w:val="0"/>
          <w:sz w:val="32"/>
          <w:szCs w:val="32"/>
          <w:lang w:val="zh-CN"/>
        </w:rPr>
        <w:t>结构性存款收益的应纳税款由客户自行申报及缴纳。</w:t>
      </w:r>
    </w:p>
    <w:p w:rsidR="00C951D0" w:rsidRPr="00352301" w:rsidRDefault="00352301" w:rsidP="007521B0">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三、</w:t>
      </w:r>
      <w:r w:rsidR="00C951D0" w:rsidRPr="00352301">
        <w:rPr>
          <w:rFonts w:ascii="黑体" w:eastAsia="黑体" w:hAnsi="宋体" w:cs="宋体" w:hint="eastAsia"/>
          <w:bCs/>
          <w:sz w:val="32"/>
          <w:szCs w:val="32"/>
        </w:rPr>
        <w:t>信息披露</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3.2若发生产品提前终止的情形，紫金农商银行将按照本说明书的约定，发布产品提前终止的相关信息。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3.3若发生结构性存款产品不成立的情形，紫金农商银行发布产品不成立的相关信息。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3.4其他紫金农商银行认为对客户有重大影响而需要发布的重要信息。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3.5客户确认并同意紫金农商银行通过以下任一方式披露信息：紫金农商银行官方网站（</w:t>
      </w:r>
      <w:r w:rsidR="00544046">
        <w:rPr>
          <w:rFonts w:ascii="仿宋_GB2312" w:eastAsia="仿宋_GB2312" w:hAnsi="宋体" w:hint="eastAsia"/>
          <w:bCs/>
          <w:kern w:val="0"/>
          <w:sz w:val="32"/>
          <w:szCs w:val="32"/>
          <w:lang w:val="zh-CN"/>
        </w:rPr>
        <w:t>www.zj</w:t>
      </w:r>
      <w:r w:rsidRPr="00352301">
        <w:rPr>
          <w:rFonts w:ascii="仿宋_GB2312" w:eastAsia="仿宋_GB2312" w:hAnsi="宋体" w:hint="eastAsia"/>
          <w:bCs/>
          <w:kern w:val="0"/>
          <w:sz w:val="32"/>
          <w:szCs w:val="32"/>
          <w:lang w:val="zh-CN"/>
        </w:rPr>
        <w:t>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w:t>
      </w:r>
      <w:r w:rsidR="00A546FC" w:rsidRPr="00352301">
        <w:rPr>
          <w:rFonts w:ascii="仿宋_GB2312" w:eastAsia="仿宋_GB2312" w:hAnsi="宋体" w:hint="eastAsia"/>
          <w:bCs/>
          <w:kern w:val="0"/>
          <w:sz w:val="32"/>
          <w:szCs w:val="32"/>
          <w:lang w:val="zh-CN"/>
        </w:rPr>
        <w:t>解本结构性存款产品信息，因此产生的全部损失和风险由客户自行承担。</w:t>
      </w:r>
    </w:p>
    <w:p w:rsidR="00C951D0" w:rsidRPr="00352301" w:rsidRDefault="00352301" w:rsidP="007521B0">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lastRenderedPageBreak/>
        <w:t>四、</w:t>
      </w:r>
      <w:r w:rsidR="00C951D0" w:rsidRPr="00352301">
        <w:rPr>
          <w:rFonts w:ascii="黑体" w:eastAsia="黑体" w:hAnsi="宋体" w:cs="宋体" w:hint="eastAsia"/>
          <w:bCs/>
          <w:sz w:val="32"/>
          <w:szCs w:val="32"/>
        </w:rPr>
        <w:t>特别提示</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4.2客户签署《结构性存款协议》后，紫金农商银行有权在产品起息日从约定的账户扣收客户的存款本金。</w:t>
      </w:r>
    </w:p>
    <w:p w:rsidR="00C951D0" w:rsidRPr="00352301" w:rsidRDefault="00352301" w:rsidP="007521B0">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五、</w:t>
      </w:r>
      <w:r w:rsidR="00C951D0" w:rsidRPr="00352301">
        <w:rPr>
          <w:rFonts w:ascii="黑体" w:eastAsia="黑体" w:hAnsi="宋体" w:cs="宋体" w:hint="eastAsia"/>
          <w:bCs/>
          <w:sz w:val="32"/>
          <w:szCs w:val="32"/>
        </w:rPr>
        <w:t>其他</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sidRPr="00FD0ACA">
        <w:rPr>
          <w:rFonts w:ascii="仿宋_GB2312" w:eastAsia="仿宋_GB2312" w:hAnsi="宋体" w:cs="宋体" w:hint="eastAsia"/>
          <w:bCs/>
          <w:kern w:val="0"/>
          <w:sz w:val="32"/>
          <w:szCs w:val="32"/>
        </w:rPr>
        <w:t>6008</w:t>
      </w:r>
      <w:r w:rsidRPr="00FD0ACA">
        <w:rPr>
          <w:rFonts w:ascii="仿宋_GB2312" w:eastAsia="仿宋_GB2312" w:hAnsi="宋体" w:cs="宋体" w:hint="eastAsia"/>
          <w:bCs/>
          <w:kern w:val="0"/>
          <w:sz w:val="32"/>
          <w:szCs w:val="32"/>
          <w:lang w:val="zh-CN"/>
        </w:rPr>
        <w:t>）。</w:t>
      </w:r>
    </w:p>
    <w:p w:rsidR="004E7806" w:rsidRPr="00FD0ACA" w:rsidRDefault="004E7806" w:rsidP="00FD0ACA">
      <w:pPr>
        <w:spacing w:line="560" w:lineRule="exact"/>
        <w:rPr>
          <w:rFonts w:ascii="仿宋_GB2312" w:eastAsia="仿宋_GB2312"/>
          <w:sz w:val="32"/>
          <w:szCs w:val="32"/>
        </w:rPr>
      </w:pPr>
    </w:p>
    <w:sectPr w:rsidR="004E7806" w:rsidRPr="00FD0ACA" w:rsidSect="004E78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46E" w:rsidRDefault="0095746E" w:rsidP="00C951D0">
      <w:r>
        <w:separator/>
      </w:r>
    </w:p>
  </w:endnote>
  <w:endnote w:type="continuationSeparator" w:id="1">
    <w:p w:rsidR="0095746E" w:rsidRDefault="0095746E" w:rsidP="00C951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docPartObj>
        <w:docPartGallery w:val="Page Numbers (Bottom of Page)"/>
        <w:docPartUnique/>
      </w:docPartObj>
    </w:sdtPr>
    <w:sdtContent>
      <w:p w:rsidR="00A3487B" w:rsidRDefault="006A2358">
        <w:pPr>
          <w:pStyle w:val="a4"/>
          <w:jc w:val="center"/>
        </w:pPr>
        <w:fldSimple w:instr=" PAGE   \* MERGEFORMAT ">
          <w:r w:rsidR="007521B0" w:rsidRPr="007521B0">
            <w:rPr>
              <w:noProof/>
              <w:lang w:val="zh-CN"/>
            </w:rPr>
            <w:t>6</w:t>
          </w:r>
        </w:fldSimple>
      </w:p>
    </w:sdtContent>
  </w:sdt>
  <w:p w:rsidR="00A3487B" w:rsidRDefault="00A348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46E" w:rsidRDefault="0095746E" w:rsidP="00C951D0">
      <w:r>
        <w:separator/>
      </w:r>
    </w:p>
  </w:footnote>
  <w:footnote w:type="continuationSeparator" w:id="1">
    <w:p w:rsidR="0095746E" w:rsidRDefault="0095746E" w:rsidP="00C951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109E5"/>
    <w:rsid w:val="0001481C"/>
    <w:rsid w:val="000148FF"/>
    <w:rsid w:val="00020D53"/>
    <w:rsid w:val="00022EBA"/>
    <w:rsid w:val="00022FC8"/>
    <w:rsid w:val="00023184"/>
    <w:rsid w:val="000250DB"/>
    <w:rsid w:val="00030E52"/>
    <w:rsid w:val="0003659E"/>
    <w:rsid w:val="00046A4F"/>
    <w:rsid w:val="00050E9E"/>
    <w:rsid w:val="000547F8"/>
    <w:rsid w:val="00057244"/>
    <w:rsid w:val="000612A8"/>
    <w:rsid w:val="00061B40"/>
    <w:rsid w:val="00061D48"/>
    <w:rsid w:val="00061F5D"/>
    <w:rsid w:val="000625BA"/>
    <w:rsid w:val="0007198C"/>
    <w:rsid w:val="00072058"/>
    <w:rsid w:val="00084281"/>
    <w:rsid w:val="00085E36"/>
    <w:rsid w:val="000912AB"/>
    <w:rsid w:val="0009472E"/>
    <w:rsid w:val="0009547B"/>
    <w:rsid w:val="00095982"/>
    <w:rsid w:val="000A0B11"/>
    <w:rsid w:val="000A4F09"/>
    <w:rsid w:val="000B3A85"/>
    <w:rsid w:val="000B5990"/>
    <w:rsid w:val="000C235F"/>
    <w:rsid w:val="000C2D56"/>
    <w:rsid w:val="000C3EF7"/>
    <w:rsid w:val="000C45A3"/>
    <w:rsid w:val="000D3DEC"/>
    <w:rsid w:val="000D426A"/>
    <w:rsid w:val="000E4135"/>
    <w:rsid w:val="000E60F2"/>
    <w:rsid w:val="000E64DF"/>
    <w:rsid w:val="000F1566"/>
    <w:rsid w:val="000F17F7"/>
    <w:rsid w:val="00105E6A"/>
    <w:rsid w:val="001075C7"/>
    <w:rsid w:val="0011096F"/>
    <w:rsid w:val="00113282"/>
    <w:rsid w:val="00116BF8"/>
    <w:rsid w:val="00116DD8"/>
    <w:rsid w:val="00125F6B"/>
    <w:rsid w:val="00130975"/>
    <w:rsid w:val="0013654B"/>
    <w:rsid w:val="001374DE"/>
    <w:rsid w:val="0014603C"/>
    <w:rsid w:val="00146869"/>
    <w:rsid w:val="00150CDF"/>
    <w:rsid w:val="00157021"/>
    <w:rsid w:val="00170997"/>
    <w:rsid w:val="0017312F"/>
    <w:rsid w:val="00182583"/>
    <w:rsid w:val="001849BF"/>
    <w:rsid w:val="00187409"/>
    <w:rsid w:val="00196B6D"/>
    <w:rsid w:val="00196D66"/>
    <w:rsid w:val="001A29C8"/>
    <w:rsid w:val="001A4477"/>
    <w:rsid w:val="001A7767"/>
    <w:rsid w:val="001B5142"/>
    <w:rsid w:val="001B691E"/>
    <w:rsid w:val="001B71B7"/>
    <w:rsid w:val="001C3183"/>
    <w:rsid w:val="001D116B"/>
    <w:rsid w:val="001D188E"/>
    <w:rsid w:val="001E1F21"/>
    <w:rsid w:val="001F0A81"/>
    <w:rsid w:val="001F0D86"/>
    <w:rsid w:val="00202233"/>
    <w:rsid w:val="002044E0"/>
    <w:rsid w:val="00214075"/>
    <w:rsid w:val="0021447E"/>
    <w:rsid w:val="00214638"/>
    <w:rsid w:val="00217CAF"/>
    <w:rsid w:val="002215BD"/>
    <w:rsid w:val="00222372"/>
    <w:rsid w:val="00223ECE"/>
    <w:rsid w:val="002277C6"/>
    <w:rsid w:val="00227F6D"/>
    <w:rsid w:val="00230E12"/>
    <w:rsid w:val="00232EB8"/>
    <w:rsid w:val="00234F98"/>
    <w:rsid w:val="002359F0"/>
    <w:rsid w:val="00237F12"/>
    <w:rsid w:val="00240008"/>
    <w:rsid w:val="00243650"/>
    <w:rsid w:val="00245525"/>
    <w:rsid w:val="0024719F"/>
    <w:rsid w:val="002749E0"/>
    <w:rsid w:val="002751EC"/>
    <w:rsid w:val="00277950"/>
    <w:rsid w:val="00282143"/>
    <w:rsid w:val="00283A80"/>
    <w:rsid w:val="00283BD5"/>
    <w:rsid w:val="00286258"/>
    <w:rsid w:val="00295677"/>
    <w:rsid w:val="00296E20"/>
    <w:rsid w:val="0029786C"/>
    <w:rsid w:val="002A0C90"/>
    <w:rsid w:val="002A256F"/>
    <w:rsid w:val="002A30F4"/>
    <w:rsid w:val="002A4F9A"/>
    <w:rsid w:val="002A50C7"/>
    <w:rsid w:val="002A5E1D"/>
    <w:rsid w:val="002A70B9"/>
    <w:rsid w:val="002A773B"/>
    <w:rsid w:val="002A7E1E"/>
    <w:rsid w:val="002B19F2"/>
    <w:rsid w:val="002C17E9"/>
    <w:rsid w:val="002C25BE"/>
    <w:rsid w:val="002C7F70"/>
    <w:rsid w:val="002D12F9"/>
    <w:rsid w:val="002D34B9"/>
    <w:rsid w:val="002E191E"/>
    <w:rsid w:val="002E289E"/>
    <w:rsid w:val="002E37C6"/>
    <w:rsid w:val="002E4802"/>
    <w:rsid w:val="002E5932"/>
    <w:rsid w:val="002E71E1"/>
    <w:rsid w:val="002E7B79"/>
    <w:rsid w:val="002F198A"/>
    <w:rsid w:val="002F19E5"/>
    <w:rsid w:val="002F28E3"/>
    <w:rsid w:val="002F3945"/>
    <w:rsid w:val="002F3FCF"/>
    <w:rsid w:val="002F7097"/>
    <w:rsid w:val="0030042D"/>
    <w:rsid w:val="0030160B"/>
    <w:rsid w:val="00301A93"/>
    <w:rsid w:val="00302AF0"/>
    <w:rsid w:val="003047F2"/>
    <w:rsid w:val="0032017F"/>
    <w:rsid w:val="00320295"/>
    <w:rsid w:val="00321184"/>
    <w:rsid w:val="00324DCB"/>
    <w:rsid w:val="00326E51"/>
    <w:rsid w:val="00344F2C"/>
    <w:rsid w:val="00345D9B"/>
    <w:rsid w:val="00351089"/>
    <w:rsid w:val="003510DC"/>
    <w:rsid w:val="00352301"/>
    <w:rsid w:val="0036125E"/>
    <w:rsid w:val="003739EF"/>
    <w:rsid w:val="003745B5"/>
    <w:rsid w:val="00381FE4"/>
    <w:rsid w:val="00387BCB"/>
    <w:rsid w:val="00392829"/>
    <w:rsid w:val="00393037"/>
    <w:rsid w:val="003975E3"/>
    <w:rsid w:val="003A06E4"/>
    <w:rsid w:val="003A20FF"/>
    <w:rsid w:val="003A650F"/>
    <w:rsid w:val="003A7E46"/>
    <w:rsid w:val="003B1180"/>
    <w:rsid w:val="003B38C9"/>
    <w:rsid w:val="003B4872"/>
    <w:rsid w:val="003B4BBF"/>
    <w:rsid w:val="003B59AF"/>
    <w:rsid w:val="003B5F72"/>
    <w:rsid w:val="003C1E09"/>
    <w:rsid w:val="003C4557"/>
    <w:rsid w:val="003D2754"/>
    <w:rsid w:val="003D41F5"/>
    <w:rsid w:val="003D4785"/>
    <w:rsid w:val="003D4D8F"/>
    <w:rsid w:val="003D7F9E"/>
    <w:rsid w:val="003E2262"/>
    <w:rsid w:val="003E323E"/>
    <w:rsid w:val="003E4170"/>
    <w:rsid w:val="003E75E2"/>
    <w:rsid w:val="00402498"/>
    <w:rsid w:val="0040370F"/>
    <w:rsid w:val="00412343"/>
    <w:rsid w:val="00415760"/>
    <w:rsid w:val="00416639"/>
    <w:rsid w:val="00417242"/>
    <w:rsid w:val="00422E40"/>
    <w:rsid w:val="00423B78"/>
    <w:rsid w:val="00433206"/>
    <w:rsid w:val="0043467F"/>
    <w:rsid w:val="00443974"/>
    <w:rsid w:val="00451D40"/>
    <w:rsid w:val="00453C51"/>
    <w:rsid w:val="00455686"/>
    <w:rsid w:val="0046139F"/>
    <w:rsid w:val="004632E2"/>
    <w:rsid w:val="00464A29"/>
    <w:rsid w:val="00465E42"/>
    <w:rsid w:val="004678B1"/>
    <w:rsid w:val="00467E92"/>
    <w:rsid w:val="004723C5"/>
    <w:rsid w:val="00473830"/>
    <w:rsid w:val="00473C94"/>
    <w:rsid w:val="00473F22"/>
    <w:rsid w:val="00474536"/>
    <w:rsid w:val="004768C6"/>
    <w:rsid w:val="00483D63"/>
    <w:rsid w:val="00487026"/>
    <w:rsid w:val="004903D4"/>
    <w:rsid w:val="004A14DD"/>
    <w:rsid w:val="004A1DA1"/>
    <w:rsid w:val="004A1FD8"/>
    <w:rsid w:val="004A2308"/>
    <w:rsid w:val="004A60BF"/>
    <w:rsid w:val="004A7F4F"/>
    <w:rsid w:val="004A7F80"/>
    <w:rsid w:val="004B3376"/>
    <w:rsid w:val="004B5430"/>
    <w:rsid w:val="004B6C60"/>
    <w:rsid w:val="004C4D8A"/>
    <w:rsid w:val="004C6000"/>
    <w:rsid w:val="004D5B73"/>
    <w:rsid w:val="004E0647"/>
    <w:rsid w:val="004E42B7"/>
    <w:rsid w:val="004E45D6"/>
    <w:rsid w:val="004E53FA"/>
    <w:rsid w:val="004E7806"/>
    <w:rsid w:val="004F0641"/>
    <w:rsid w:val="004F06AD"/>
    <w:rsid w:val="004F1D95"/>
    <w:rsid w:val="004F4260"/>
    <w:rsid w:val="004F4C06"/>
    <w:rsid w:val="004F71D5"/>
    <w:rsid w:val="00501101"/>
    <w:rsid w:val="00501DA0"/>
    <w:rsid w:val="005037C8"/>
    <w:rsid w:val="00505381"/>
    <w:rsid w:val="00507668"/>
    <w:rsid w:val="005077AF"/>
    <w:rsid w:val="00510FB9"/>
    <w:rsid w:val="00511CBB"/>
    <w:rsid w:val="00512FF2"/>
    <w:rsid w:val="0051556D"/>
    <w:rsid w:val="00515E9C"/>
    <w:rsid w:val="005170AA"/>
    <w:rsid w:val="00521B4B"/>
    <w:rsid w:val="00522A74"/>
    <w:rsid w:val="00532285"/>
    <w:rsid w:val="005363A0"/>
    <w:rsid w:val="00536F2B"/>
    <w:rsid w:val="00541BE4"/>
    <w:rsid w:val="00543586"/>
    <w:rsid w:val="00544046"/>
    <w:rsid w:val="0054408B"/>
    <w:rsid w:val="00544DAE"/>
    <w:rsid w:val="00545BCE"/>
    <w:rsid w:val="005524B0"/>
    <w:rsid w:val="005574B1"/>
    <w:rsid w:val="0055761A"/>
    <w:rsid w:val="00563135"/>
    <w:rsid w:val="00570650"/>
    <w:rsid w:val="005723A7"/>
    <w:rsid w:val="005747DF"/>
    <w:rsid w:val="00576594"/>
    <w:rsid w:val="0057793F"/>
    <w:rsid w:val="00597090"/>
    <w:rsid w:val="00597EB8"/>
    <w:rsid w:val="005A6A23"/>
    <w:rsid w:val="005A74D4"/>
    <w:rsid w:val="005B562C"/>
    <w:rsid w:val="005B57AF"/>
    <w:rsid w:val="005B5976"/>
    <w:rsid w:val="005C0AA0"/>
    <w:rsid w:val="005C4B42"/>
    <w:rsid w:val="005C5663"/>
    <w:rsid w:val="005D27FE"/>
    <w:rsid w:val="005F17F4"/>
    <w:rsid w:val="005F3AD0"/>
    <w:rsid w:val="005F3B6D"/>
    <w:rsid w:val="0060618C"/>
    <w:rsid w:val="00612689"/>
    <w:rsid w:val="00613849"/>
    <w:rsid w:val="00616987"/>
    <w:rsid w:val="006208B6"/>
    <w:rsid w:val="0062259B"/>
    <w:rsid w:val="00627128"/>
    <w:rsid w:val="00632FFF"/>
    <w:rsid w:val="0063562C"/>
    <w:rsid w:val="00640430"/>
    <w:rsid w:val="00641826"/>
    <w:rsid w:val="0064499A"/>
    <w:rsid w:val="006509FA"/>
    <w:rsid w:val="00651D52"/>
    <w:rsid w:val="0065439F"/>
    <w:rsid w:val="006544E8"/>
    <w:rsid w:val="00654803"/>
    <w:rsid w:val="00657972"/>
    <w:rsid w:val="00664748"/>
    <w:rsid w:val="00666364"/>
    <w:rsid w:val="006A007F"/>
    <w:rsid w:val="006A2358"/>
    <w:rsid w:val="006A6F23"/>
    <w:rsid w:val="006A7F71"/>
    <w:rsid w:val="006B1108"/>
    <w:rsid w:val="006B3BEE"/>
    <w:rsid w:val="006B5D5A"/>
    <w:rsid w:val="006C184C"/>
    <w:rsid w:val="006C1A75"/>
    <w:rsid w:val="006E0EA5"/>
    <w:rsid w:val="006E38AC"/>
    <w:rsid w:val="006E65E5"/>
    <w:rsid w:val="006F03F2"/>
    <w:rsid w:val="006F3F23"/>
    <w:rsid w:val="00706194"/>
    <w:rsid w:val="00711F53"/>
    <w:rsid w:val="00712A65"/>
    <w:rsid w:val="007141F1"/>
    <w:rsid w:val="007162A8"/>
    <w:rsid w:val="00723D84"/>
    <w:rsid w:val="00723EEF"/>
    <w:rsid w:val="00726096"/>
    <w:rsid w:val="00726CAB"/>
    <w:rsid w:val="0073111C"/>
    <w:rsid w:val="0074027F"/>
    <w:rsid w:val="00740D16"/>
    <w:rsid w:val="0074719F"/>
    <w:rsid w:val="007521B0"/>
    <w:rsid w:val="00771248"/>
    <w:rsid w:val="007758F1"/>
    <w:rsid w:val="0077665B"/>
    <w:rsid w:val="00777D1B"/>
    <w:rsid w:val="00781C35"/>
    <w:rsid w:val="0079338B"/>
    <w:rsid w:val="00794FD4"/>
    <w:rsid w:val="007A0698"/>
    <w:rsid w:val="007A36AC"/>
    <w:rsid w:val="007B1F50"/>
    <w:rsid w:val="007B2237"/>
    <w:rsid w:val="007B477B"/>
    <w:rsid w:val="007B5454"/>
    <w:rsid w:val="007B640D"/>
    <w:rsid w:val="007C3019"/>
    <w:rsid w:val="007C4E80"/>
    <w:rsid w:val="007C5CEE"/>
    <w:rsid w:val="007D2E17"/>
    <w:rsid w:val="007E1EAC"/>
    <w:rsid w:val="007F023F"/>
    <w:rsid w:val="007F0C0B"/>
    <w:rsid w:val="007F2A13"/>
    <w:rsid w:val="007F404B"/>
    <w:rsid w:val="00801127"/>
    <w:rsid w:val="00802E3A"/>
    <w:rsid w:val="008039EE"/>
    <w:rsid w:val="0080520F"/>
    <w:rsid w:val="00806DE7"/>
    <w:rsid w:val="00815D3F"/>
    <w:rsid w:val="00816659"/>
    <w:rsid w:val="0082005F"/>
    <w:rsid w:val="008215CF"/>
    <w:rsid w:val="00822BE3"/>
    <w:rsid w:val="00822D5B"/>
    <w:rsid w:val="00823867"/>
    <w:rsid w:val="00824020"/>
    <w:rsid w:val="00825EEE"/>
    <w:rsid w:val="008274FC"/>
    <w:rsid w:val="00830AE1"/>
    <w:rsid w:val="00850FBB"/>
    <w:rsid w:val="0085143E"/>
    <w:rsid w:val="00854D37"/>
    <w:rsid w:val="0087237C"/>
    <w:rsid w:val="008723BE"/>
    <w:rsid w:val="00875895"/>
    <w:rsid w:val="0088224E"/>
    <w:rsid w:val="00882CFA"/>
    <w:rsid w:val="00884BB8"/>
    <w:rsid w:val="00886732"/>
    <w:rsid w:val="00887506"/>
    <w:rsid w:val="00887EA2"/>
    <w:rsid w:val="00890C21"/>
    <w:rsid w:val="00894E81"/>
    <w:rsid w:val="008A15D9"/>
    <w:rsid w:val="008A48A5"/>
    <w:rsid w:val="008B0B9E"/>
    <w:rsid w:val="008B3223"/>
    <w:rsid w:val="008B6A18"/>
    <w:rsid w:val="008C22B6"/>
    <w:rsid w:val="008C5CC0"/>
    <w:rsid w:val="008D6135"/>
    <w:rsid w:val="008D69F5"/>
    <w:rsid w:val="008E485B"/>
    <w:rsid w:val="008E59C2"/>
    <w:rsid w:val="008E7CE9"/>
    <w:rsid w:val="008F4AE0"/>
    <w:rsid w:val="008F4B80"/>
    <w:rsid w:val="009002AF"/>
    <w:rsid w:val="00900998"/>
    <w:rsid w:val="0090142C"/>
    <w:rsid w:val="00910877"/>
    <w:rsid w:val="00911109"/>
    <w:rsid w:val="009118F3"/>
    <w:rsid w:val="009149AB"/>
    <w:rsid w:val="00925001"/>
    <w:rsid w:val="00926BCD"/>
    <w:rsid w:val="009279D1"/>
    <w:rsid w:val="00941587"/>
    <w:rsid w:val="00941712"/>
    <w:rsid w:val="00942E21"/>
    <w:rsid w:val="009468B1"/>
    <w:rsid w:val="00947018"/>
    <w:rsid w:val="00951648"/>
    <w:rsid w:val="00954049"/>
    <w:rsid w:val="00955725"/>
    <w:rsid w:val="0095746E"/>
    <w:rsid w:val="00965731"/>
    <w:rsid w:val="00966D91"/>
    <w:rsid w:val="009706F8"/>
    <w:rsid w:val="0097592E"/>
    <w:rsid w:val="0098370E"/>
    <w:rsid w:val="00990B1F"/>
    <w:rsid w:val="00990FDA"/>
    <w:rsid w:val="009B2B27"/>
    <w:rsid w:val="009B6CBE"/>
    <w:rsid w:val="009C0241"/>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3487B"/>
    <w:rsid w:val="00A4222A"/>
    <w:rsid w:val="00A4401C"/>
    <w:rsid w:val="00A474E3"/>
    <w:rsid w:val="00A508D3"/>
    <w:rsid w:val="00A52944"/>
    <w:rsid w:val="00A52D1C"/>
    <w:rsid w:val="00A546FC"/>
    <w:rsid w:val="00A54D36"/>
    <w:rsid w:val="00A554DC"/>
    <w:rsid w:val="00A60801"/>
    <w:rsid w:val="00A63970"/>
    <w:rsid w:val="00A65B63"/>
    <w:rsid w:val="00A67622"/>
    <w:rsid w:val="00A702E9"/>
    <w:rsid w:val="00A8032E"/>
    <w:rsid w:val="00A81C96"/>
    <w:rsid w:val="00A81E0E"/>
    <w:rsid w:val="00A8387C"/>
    <w:rsid w:val="00A871A6"/>
    <w:rsid w:val="00A87DD3"/>
    <w:rsid w:val="00A9147E"/>
    <w:rsid w:val="00A9226F"/>
    <w:rsid w:val="00A95724"/>
    <w:rsid w:val="00AA1C1B"/>
    <w:rsid w:val="00AA230A"/>
    <w:rsid w:val="00AA794E"/>
    <w:rsid w:val="00AB2657"/>
    <w:rsid w:val="00AC065F"/>
    <w:rsid w:val="00AD1FBC"/>
    <w:rsid w:val="00AD292E"/>
    <w:rsid w:val="00AD5FBE"/>
    <w:rsid w:val="00AE3620"/>
    <w:rsid w:val="00AF28C4"/>
    <w:rsid w:val="00AF343F"/>
    <w:rsid w:val="00B011B1"/>
    <w:rsid w:val="00B02405"/>
    <w:rsid w:val="00B06778"/>
    <w:rsid w:val="00B13C07"/>
    <w:rsid w:val="00B21E8F"/>
    <w:rsid w:val="00B2332F"/>
    <w:rsid w:val="00B23F88"/>
    <w:rsid w:val="00B2635C"/>
    <w:rsid w:val="00B319AF"/>
    <w:rsid w:val="00B34161"/>
    <w:rsid w:val="00B37D62"/>
    <w:rsid w:val="00B40A4D"/>
    <w:rsid w:val="00B46CA8"/>
    <w:rsid w:val="00B47F8D"/>
    <w:rsid w:val="00B51358"/>
    <w:rsid w:val="00B53A86"/>
    <w:rsid w:val="00B54BFB"/>
    <w:rsid w:val="00B618BE"/>
    <w:rsid w:val="00B63587"/>
    <w:rsid w:val="00B6464D"/>
    <w:rsid w:val="00B66767"/>
    <w:rsid w:val="00B720FC"/>
    <w:rsid w:val="00B72A94"/>
    <w:rsid w:val="00B7517D"/>
    <w:rsid w:val="00B75453"/>
    <w:rsid w:val="00B77704"/>
    <w:rsid w:val="00B806A5"/>
    <w:rsid w:val="00BA0B51"/>
    <w:rsid w:val="00BA56F0"/>
    <w:rsid w:val="00BA69FF"/>
    <w:rsid w:val="00BA74C8"/>
    <w:rsid w:val="00BB0ED5"/>
    <w:rsid w:val="00BB42D1"/>
    <w:rsid w:val="00BB458A"/>
    <w:rsid w:val="00BB5822"/>
    <w:rsid w:val="00BB7120"/>
    <w:rsid w:val="00BC0B1D"/>
    <w:rsid w:val="00BC6909"/>
    <w:rsid w:val="00BD0442"/>
    <w:rsid w:val="00BD07A7"/>
    <w:rsid w:val="00BD1044"/>
    <w:rsid w:val="00BD3C93"/>
    <w:rsid w:val="00BD3E6F"/>
    <w:rsid w:val="00BE0CC2"/>
    <w:rsid w:val="00BE1642"/>
    <w:rsid w:val="00BE1BD3"/>
    <w:rsid w:val="00BE221E"/>
    <w:rsid w:val="00BE2C90"/>
    <w:rsid w:val="00BE312A"/>
    <w:rsid w:val="00BE47DD"/>
    <w:rsid w:val="00BE666A"/>
    <w:rsid w:val="00BE66CA"/>
    <w:rsid w:val="00BE6A5A"/>
    <w:rsid w:val="00BF10C6"/>
    <w:rsid w:val="00BF10D7"/>
    <w:rsid w:val="00BF149A"/>
    <w:rsid w:val="00BF629D"/>
    <w:rsid w:val="00C028CB"/>
    <w:rsid w:val="00C07F6D"/>
    <w:rsid w:val="00C1662A"/>
    <w:rsid w:val="00C17EC6"/>
    <w:rsid w:val="00C233C7"/>
    <w:rsid w:val="00C35C15"/>
    <w:rsid w:val="00C37416"/>
    <w:rsid w:val="00C404C9"/>
    <w:rsid w:val="00C52279"/>
    <w:rsid w:val="00C52E9A"/>
    <w:rsid w:val="00C5691E"/>
    <w:rsid w:val="00C57464"/>
    <w:rsid w:val="00C625AC"/>
    <w:rsid w:val="00C638D9"/>
    <w:rsid w:val="00C65528"/>
    <w:rsid w:val="00C65BE6"/>
    <w:rsid w:val="00C6617B"/>
    <w:rsid w:val="00C67ABF"/>
    <w:rsid w:val="00C705BC"/>
    <w:rsid w:val="00C736DD"/>
    <w:rsid w:val="00C75F05"/>
    <w:rsid w:val="00C7676A"/>
    <w:rsid w:val="00C76A77"/>
    <w:rsid w:val="00C8003E"/>
    <w:rsid w:val="00C86738"/>
    <w:rsid w:val="00C86E30"/>
    <w:rsid w:val="00C87F0C"/>
    <w:rsid w:val="00C90DA7"/>
    <w:rsid w:val="00C92506"/>
    <w:rsid w:val="00C925E9"/>
    <w:rsid w:val="00C951D0"/>
    <w:rsid w:val="00C9674A"/>
    <w:rsid w:val="00CA1D93"/>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E01AC"/>
    <w:rsid w:val="00CE2810"/>
    <w:rsid w:val="00CE3255"/>
    <w:rsid w:val="00CE5436"/>
    <w:rsid w:val="00CE7D8D"/>
    <w:rsid w:val="00CF3229"/>
    <w:rsid w:val="00D046C1"/>
    <w:rsid w:val="00D05D0F"/>
    <w:rsid w:val="00D0631A"/>
    <w:rsid w:val="00D1574E"/>
    <w:rsid w:val="00D21B11"/>
    <w:rsid w:val="00D24E60"/>
    <w:rsid w:val="00D257BF"/>
    <w:rsid w:val="00D31175"/>
    <w:rsid w:val="00D32378"/>
    <w:rsid w:val="00D34634"/>
    <w:rsid w:val="00D433B0"/>
    <w:rsid w:val="00D44EA7"/>
    <w:rsid w:val="00D4596B"/>
    <w:rsid w:val="00D5361C"/>
    <w:rsid w:val="00D618FB"/>
    <w:rsid w:val="00D66F76"/>
    <w:rsid w:val="00D67FD8"/>
    <w:rsid w:val="00D706A7"/>
    <w:rsid w:val="00D71314"/>
    <w:rsid w:val="00D8279E"/>
    <w:rsid w:val="00D87567"/>
    <w:rsid w:val="00D92677"/>
    <w:rsid w:val="00D9414C"/>
    <w:rsid w:val="00D97DAF"/>
    <w:rsid w:val="00DA2D31"/>
    <w:rsid w:val="00DA503C"/>
    <w:rsid w:val="00DB6DE9"/>
    <w:rsid w:val="00DC020E"/>
    <w:rsid w:val="00DC13CC"/>
    <w:rsid w:val="00DC177B"/>
    <w:rsid w:val="00DC5491"/>
    <w:rsid w:val="00DD2B8E"/>
    <w:rsid w:val="00DD50D2"/>
    <w:rsid w:val="00DD5309"/>
    <w:rsid w:val="00DD5EAC"/>
    <w:rsid w:val="00DD7547"/>
    <w:rsid w:val="00DF022C"/>
    <w:rsid w:val="00DF1E77"/>
    <w:rsid w:val="00E012D6"/>
    <w:rsid w:val="00E03CFC"/>
    <w:rsid w:val="00E05CE3"/>
    <w:rsid w:val="00E064A9"/>
    <w:rsid w:val="00E06A22"/>
    <w:rsid w:val="00E10103"/>
    <w:rsid w:val="00E17D0C"/>
    <w:rsid w:val="00E21667"/>
    <w:rsid w:val="00E237B1"/>
    <w:rsid w:val="00E23ABD"/>
    <w:rsid w:val="00E25FAE"/>
    <w:rsid w:val="00E27D75"/>
    <w:rsid w:val="00E306A4"/>
    <w:rsid w:val="00E478C8"/>
    <w:rsid w:val="00E51293"/>
    <w:rsid w:val="00E52AEC"/>
    <w:rsid w:val="00E549D2"/>
    <w:rsid w:val="00E54F38"/>
    <w:rsid w:val="00E57F8C"/>
    <w:rsid w:val="00E70229"/>
    <w:rsid w:val="00E7784C"/>
    <w:rsid w:val="00E82AFD"/>
    <w:rsid w:val="00E87BC1"/>
    <w:rsid w:val="00E9006F"/>
    <w:rsid w:val="00E94CB2"/>
    <w:rsid w:val="00EA0B45"/>
    <w:rsid w:val="00EA1F51"/>
    <w:rsid w:val="00EA313E"/>
    <w:rsid w:val="00EA34C4"/>
    <w:rsid w:val="00EA4AD1"/>
    <w:rsid w:val="00EA64B9"/>
    <w:rsid w:val="00EB751C"/>
    <w:rsid w:val="00EC0F6C"/>
    <w:rsid w:val="00ED2965"/>
    <w:rsid w:val="00ED6D9E"/>
    <w:rsid w:val="00EE0753"/>
    <w:rsid w:val="00EE7787"/>
    <w:rsid w:val="00F035D0"/>
    <w:rsid w:val="00F03CC0"/>
    <w:rsid w:val="00F05856"/>
    <w:rsid w:val="00F06702"/>
    <w:rsid w:val="00F12DD9"/>
    <w:rsid w:val="00F13E75"/>
    <w:rsid w:val="00F232E0"/>
    <w:rsid w:val="00F31226"/>
    <w:rsid w:val="00F36B04"/>
    <w:rsid w:val="00F37F01"/>
    <w:rsid w:val="00F419E7"/>
    <w:rsid w:val="00F421AA"/>
    <w:rsid w:val="00F421C9"/>
    <w:rsid w:val="00F64864"/>
    <w:rsid w:val="00F64DDB"/>
    <w:rsid w:val="00F65D28"/>
    <w:rsid w:val="00F677AA"/>
    <w:rsid w:val="00F71459"/>
    <w:rsid w:val="00F71B46"/>
    <w:rsid w:val="00F80680"/>
    <w:rsid w:val="00F82333"/>
    <w:rsid w:val="00F83877"/>
    <w:rsid w:val="00F86F92"/>
    <w:rsid w:val="00F9104B"/>
    <w:rsid w:val="00F95C59"/>
    <w:rsid w:val="00FA3D67"/>
    <w:rsid w:val="00FA6013"/>
    <w:rsid w:val="00FB7EEC"/>
    <w:rsid w:val="00FC2F7B"/>
    <w:rsid w:val="00FC3C64"/>
    <w:rsid w:val="00FC66CD"/>
    <w:rsid w:val="00FD0ACA"/>
    <w:rsid w:val="00FD180C"/>
    <w:rsid w:val="00FD21C1"/>
    <w:rsid w:val="00FD4B10"/>
    <w:rsid w:val="00FD4F00"/>
    <w:rsid w:val="00FD62C4"/>
    <w:rsid w:val="00FD7BA2"/>
    <w:rsid w:val="00FE0952"/>
    <w:rsid w:val="00FE1885"/>
    <w:rsid w:val="00FE5ED5"/>
    <w:rsid w:val="00FF79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1D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51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951D0"/>
    <w:rPr>
      <w:sz w:val="18"/>
      <w:szCs w:val="18"/>
    </w:rPr>
  </w:style>
  <w:style w:type="paragraph" w:styleId="a4">
    <w:name w:val="footer"/>
    <w:basedOn w:val="a"/>
    <w:link w:val="Char0"/>
    <w:uiPriority w:val="99"/>
    <w:unhideWhenUsed/>
    <w:rsid w:val="00C951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51D0"/>
    <w:rPr>
      <w:sz w:val="18"/>
      <w:szCs w:val="18"/>
    </w:rPr>
  </w:style>
  <w:style w:type="paragraph" w:customStyle="1" w:styleId="Default">
    <w:name w:val="Default"/>
    <w:rsid w:val="00C951D0"/>
    <w:pPr>
      <w:widowControl w:val="0"/>
      <w:autoSpaceDE w:val="0"/>
      <w:autoSpaceDN w:val="0"/>
      <w:adjustRightInd w:val="0"/>
    </w:pPr>
    <w:rPr>
      <w:rFonts w:ascii="...." w:eastAsia="...." w:hAnsi="Calibri"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3019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Pages>
  <Words>546</Words>
  <Characters>3117</Characters>
  <Application>Microsoft Office Word</Application>
  <DocSecurity>0</DocSecurity>
  <Lines>25</Lines>
  <Paragraphs>7</Paragraphs>
  <ScaleCrop>false</ScaleCrop>
  <Company>微软中国</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293</cp:revision>
  <dcterms:created xsi:type="dcterms:W3CDTF">2019-01-14T02:08:00Z</dcterms:created>
  <dcterms:modified xsi:type="dcterms:W3CDTF">2024-04-19T08:49:00Z</dcterms:modified>
</cp:coreProperties>
</file>